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894D6" w14:textId="77777777" w:rsidR="00113ECC" w:rsidRDefault="003B5CC4" w:rsidP="004C7B0D">
      <w:pPr>
        <w:pStyle w:val="Overskrift1"/>
        <w:spacing w:before="0"/>
        <w:rPr>
          <w:rFonts w:eastAsia="Times New Roman" w:cs="Times New Roman"/>
          <w:u w:val="single"/>
          <w:lang w:eastAsia="da-DK"/>
        </w:rPr>
      </w:pPr>
      <w:r w:rsidRPr="003E1A67">
        <w:rPr>
          <w:rFonts w:eastAsia="Times New Roman" w:cs="Times New Roman"/>
          <w:u w:val="single"/>
          <w:lang w:eastAsia="da-DK"/>
        </w:rPr>
        <w:t xml:space="preserve">UDKAST </w:t>
      </w:r>
      <w:r w:rsidR="00EE1FCA">
        <w:rPr>
          <w:rFonts w:eastAsia="Times New Roman" w:cs="Times New Roman"/>
          <w:u w:val="single"/>
          <w:lang w:eastAsia="da-DK"/>
        </w:rPr>
        <w:t xml:space="preserve">I HØRING </w:t>
      </w:r>
      <w:r w:rsidR="00B8307E">
        <w:rPr>
          <w:rFonts w:eastAsia="Times New Roman" w:cs="Times New Roman"/>
          <w:u w:val="single"/>
          <w:lang w:eastAsia="da-DK"/>
        </w:rPr>
        <w:t xml:space="preserve"> </w:t>
      </w:r>
    </w:p>
    <w:p w14:paraId="5C32CE4D" w14:textId="77777777" w:rsidR="004C7B0D" w:rsidRPr="004C7B0D" w:rsidRDefault="004C7B0D" w:rsidP="004C7B0D">
      <w:pPr>
        <w:rPr>
          <w:lang w:eastAsia="da-DK"/>
        </w:rPr>
      </w:pPr>
      <w:bookmarkStart w:id="0" w:name="_GoBack"/>
    </w:p>
    <w:bookmarkEnd w:id="0"/>
    <w:p w14:paraId="242143DB" w14:textId="77777777" w:rsidR="007970A6" w:rsidRPr="00577043" w:rsidRDefault="007970A6" w:rsidP="003B5CC4">
      <w:pPr>
        <w:rPr>
          <w:lang w:eastAsia="da-DK"/>
        </w:rPr>
      </w:pPr>
    </w:p>
    <w:p w14:paraId="2B34E0E8" w14:textId="77777777" w:rsidR="00C94222" w:rsidRPr="00577043" w:rsidRDefault="00C94222" w:rsidP="00CB2276">
      <w:pPr>
        <w:pStyle w:val="Overskrift1"/>
        <w:spacing w:before="0"/>
        <w:rPr>
          <w:rFonts w:eastAsia="Times New Roman" w:cs="Times New Roman"/>
          <w:lang w:eastAsia="da-DK"/>
        </w:rPr>
      </w:pPr>
      <w:r w:rsidRPr="00577043">
        <w:rPr>
          <w:rFonts w:eastAsia="Times New Roman" w:cs="Times New Roman"/>
          <w:lang w:eastAsia="da-DK"/>
        </w:rPr>
        <w:t>Forslag</w:t>
      </w:r>
    </w:p>
    <w:p w14:paraId="26A4EE89" w14:textId="77777777" w:rsidR="00C94222" w:rsidRPr="00577043" w:rsidRDefault="00C94222" w:rsidP="00CB2276">
      <w:pPr>
        <w:jc w:val="center"/>
        <w:rPr>
          <w:rFonts w:eastAsia="Times New Roman" w:cs="Times New Roman"/>
          <w:color w:val="000000"/>
          <w:lang w:eastAsia="da-DK"/>
        </w:rPr>
      </w:pPr>
      <w:r w:rsidRPr="00577043">
        <w:rPr>
          <w:rFonts w:eastAsia="Times New Roman" w:cs="Times New Roman"/>
          <w:color w:val="000000"/>
          <w:lang w:eastAsia="da-DK"/>
        </w:rPr>
        <w:t>til</w:t>
      </w:r>
    </w:p>
    <w:p w14:paraId="205FD7D6" w14:textId="77777777" w:rsidR="00C94222" w:rsidRPr="00577043" w:rsidRDefault="00C94222" w:rsidP="00CB2276">
      <w:pPr>
        <w:jc w:val="center"/>
        <w:rPr>
          <w:rFonts w:eastAsia="Times New Roman" w:cs="Times New Roman"/>
          <w:color w:val="000000"/>
          <w:vertAlign w:val="superscript"/>
          <w:lang w:eastAsia="da-DK"/>
        </w:rPr>
      </w:pPr>
      <w:r w:rsidRPr="00577043">
        <w:rPr>
          <w:rFonts w:eastAsia="Times New Roman" w:cs="Times New Roman"/>
          <w:color w:val="000000"/>
          <w:lang w:eastAsia="da-DK"/>
        </w:rPr>
        <w:t>Lov om kliniske forsøg med lægemidler</w:t>
      </w:r>
    </w:p>
    <w:p w14:paraId="17E7ECF5" w14:textId="77777777" w:rsidR="00174B02" w:rsidRPr="00B27DEC" w:rsidRDefault="00174B02" w:rsidP="00174B02">
      <w:pPr>
        <w:jc w:val="center"/>
        <w:rPr>
          <w:bCs/>
        </w:rPr>
      </w:pPr>
      <w:r w:rsidRPr="00B27DEC">
        <w:rPr>
          <w:bCs/>
        </w:rPr>
        <w:t xml:space="preserve">(Tilpasning som følge af EU forordning nr. 536/2014 om kliniske forsøg med humanmedicinske lægemidler)  </w:t>
      </w:r>
    </w:p>
    <w:p w14:paraId="377A4008" w14:textId="77777777" w:rsidR="00CF03F3" w:rsidRPr="00577043" w:rsidRDefault="00CF03F3" w:rsidP="00CB2276">
      <w:pPr>
        <w:jc w:val="center"/>
        <w:rPr>
          <w:rFonts w:eastAsia="Times New Roman" w:cs="Times New Roman"/>
          <w:color w:val="000000"/>
          <w:lang w:eastAsia="da-DK"/>
        </w:rPr>
      </w:pPr>
    </w:p>
    <w:p w14:paraId="67F74241" w14:textId="77777777" w:rsidR="00283AC1" w:rsidRPr="00577043" w:rsidRDefault="00283AC1" w:rsidP="00CB2276">
      <w:pPr>
        <w:jc w:val="center"/>
        <w:rPr>
          <w:rFonts w:eastAsia="Times New Roman" w:cs="Times New Roman"/>
          <w:b/>
          <w:color w:val="000000"/>
          <w:lang w:eastAsia="da-DK"/>
        </w:rPr>
      </w:pPr>
    </w:p>
    <w:p w14:paraId="13B59F2B" w14:textId="77777777" w:rsidR="00E56B30" w:rsidRPr="00577043" w:rsidRDefault="006F38AA" w:rsidP="00CB2276">
      <w:pPr>
        <w:jc w:val="center"/>
        <w:rPr>
          <w:rFonts w:eastAsia="Times New Roman" w:cs="Times New Roman"/>
          <w:b/>
          <w:color w:val="000000"/>
          <w:lang w:eastAsia="da-DK"/>
        </w:rPr>
      </w:pPr>
      <w:r w:rsidRPr="00577043">
        <w:rPr>
          <w:rFonts w:eastAsia="Times New Roman" w:cs="Times New Roman"/>
          <w:b/>
          <w:color w:val="000000"/>
          <w:lang w:eastAsia="da-DK"/>
        </w:rPr>
        <w:t>Afsnit I</w:t>
      </w:r>
    </w:p>
    <w:p w14:paraId="39A7E926" w14:textId="77777777" w:rsidR="00283AC1" w:rsidRPr="00577043" w:rsidRDefault="00283AC1" w:rsidP="00CB2276">
      <w:pPr>
        <w:jc w:val="center"/>
        <w:rPr>
          <w:rFonts w:eastAsia="Times New Roman" w:cs="Times New Roman"/>
          <w:b/>
          <w:color w:val="000000"/>
          <w:lang w:eastAsia="da-DK"/>
        </w:rPr>
      </w:pPr>
    </w:p>
    <w:p w14:paraId="79A816F1" w14:textId="77777777" w:rsidR="00283AC1" w:rsidRPr="00577043" w:rsidRDefault="00283AC1" w:rsidP="00CB2276">
      <w:pPr>
        <w:jc w:val="center"/>
        <w:rPr>
          <w:rFonts w:eastAsia="Times New Roman" w:cs="Times New Roman"/>
          <w:b/>
          <w:color w:val="000000"/>
          <w:lang w:eastAsia="da-DK"/>
        </w:rPr>
      </w:pPr>
      <w:r w:rsidRPr="00577043">
        <w:rPr>
          <w:rFonts w:eastAsia="Times New Roman" w:cs="Times New Roman"/>
          <w:b/>
          <w:color w:val="000000"/>
          <w:lang w:eastAsia="da-DK"/>
        </w:rPr>
        <w:t xml:space="preserve">Kliniske forsøg </w:t>
      </w:r>
    </w:p>
    <w:p w14:paraId="408507F9" w14:textId="77777777" w:rsidR="006F38AA" w:rsidRPr="00577043" w:rsidRDefault="00FC4F6E" w:rsidP="00CB2276">
      <w:pPr>
        <w:jc w:val="center"/>
        <w:rPr>
          <w:rFonts w:eastAsia="Times New Roman" w:cs="Times New Roman"/>
          <w:b/>
          <w:color w:val="000000"/>
          <w:lang w:eastAsia="da-DK"/>
        </w:rPr>
      </w:pPr>
      <w:r w:rsidRPr="00577043">
        <w:rPr>
          <w:rFonts w:eastAsia="Times New Roman" w:cs="Times New Roman"/>
          <w:b/>
          <w:color w:val="000000"/>
          <w:lang w:eastAsia="da-DK"/>
        </w:rPr>
        <w:t xml:space="preserve"> </w:t>
      </w:r>
    </w:p>
    <w:p w14:paraId="4A8FAF00" w14:textId="77777777" w:rsidR="00BE55CD" w:rsidRPr="00577043" w:rsidRDefault="00BE55CD" w:rsidP="00CB2276">
      <w:pPr>
        <w:jc w:val="center"/>
        <w:rPr>
          <w:rFonts w:eastAsia="Times New Roman" w:cs="Times New Roman"/>
          <w:b/>
          <w:color w:val="000000"/>
          <w:lang w:eastAsia="da-DK"/>
        </w:rPr>
      </w:pPr>
    </w:p>
    <w:p w14:paraId="05398126" w14:textId="77777777" w:rsidR="00E715E3" w:rsidRPr="00577043" w:rsidRDefault="001C54E7" w:rsidP="00A22EAD">
      <w:pPr>
        <w:jc w:val="center"/>
        <w:rPr>
          <w:rFonts w:eastAsia="Times New Roman" w:cs="Times New Roman"/>
          <w:bCs/>
          <w:color w:val="000000"/>
          <w:lang w:eastAsia="da-DK"/>
        </w:rPr>
      </w:pPr>
      <w:r w:rsidRPr="00577043">
        <w:rPr>
          <w:rFonts w:eastAsia="Times New Roman" w:cs="Times New Roman"/>
          <w:bCs/>
          <w:color w:val="000000"/>
          <w:lang w:eastAsia="da-DK"/>
        </w:rPr>
        <w:t xml:space="preserve">Kapitel </w:t>
      </w:r>
      <w:r w:rsidR="00A12C88" w:rsidRPr="00577043">
        <w:rPr>
          <w:rFonts w:eastAsia="Times New Roman" w:cs="Times New Roman"/>
          <w:bCs/>
          <w:color w:val="000000"/>
          <w:lang w:eastAsia="da-DK"/>
        </w:rPr>
        <w:t>1</w:t>
      </w:r>
    </w:p>
    <w:p w14:paraId="0A1C42BC" w14:textId="77777777" w:rsidR="002805DB" w:rsidRPr="00577043" w:rsidRDefault="002805DB" w:rsidP="00A22EAD">
      <w:pPr>
        <w:jc w:val="center"/>
        <w:rPr>
          <w:rFonts w:eastAsia="Times New Roman" w:cs="Times New Roman"/>
          <w:bCs/>
          <w:color w:val="000000"/>
          <w:lang w:eastAsia="da-DK"/>
        </w:rPr>
      </w:pPr>
    </w:p>
    <w:p w14:paraId="7938D50D" w14:textId="77777777" w:rsidR="002805DB" w:rsidRPr="00577043" w:rsidRDefault="000F6B36" w:rsidP="000F6B36">
      <w:pPr>
        <w:tabs>
          <w:tab w:val="left" w:pos="2010"/>
        </w:tabs>
        <w:rPr>
          <w:lang w:eastAsia="da-DK"/>
        </w:rPr>
      </w:pPr>
      <w:r>
        <w:rPr>
          <w:lang w:eastAsia="da-DK"/>
        </w:rPr>
        <w:tab/>
      </w:r>
    </w:p>
    <w:p w14:paraId="14523AC1" w14:textId="77777777" w:rsidR="001C54E7" w:rsidRPr="00577043" w:rsidRDefault="001C54E7" w:rsidP="00CB2276">
      <w:pPr>
        <w:pStyle w:val="Overskrift2"/>
        <w:rPr>
          <w:rFonts w:eastAsia="Times New Roman" w:cs="Times New Roman"/>
          <w:b w:val="0"/>
          <w:i/>
          <w:lang w:eastAsia="da-DK"/>
        </w:rPr>
      </w:pPr>
      <w:r w:rsidRPr="00577043">
        <w:rPr>
          <w:rFonts w:eastAsia="Times New Roman" w:cs="Times New Roman"/>
          <w:b w:val="0"/>
          <w:i/>
          <w:lang w:eastAsia="da-DK"/>
        </w:rPr>
        <w:t xml:space="preserve">Lovens formål og </w:t>
      </w:r>
      <w:r w:rsidR="00A12C88" w:rsidRPr="00577043">
        <w:rPr>
          <w:rFonts w:cs="Times New Roman"/>
          <w:b w:val="0"/>
          <w:i/>
        </w:rPr>
        <w:t>anvendelses</w:t>
      </w:r>
      <w:r w:rsidRPr="00577043">
        <w:rPr>
          <w:rFonts w:cs="Times New Roman"/>
          <w:b w:val="0"/>
          <w:i/>
        </w:rPr>
        <w:t>område</w:t>
      </w:r>
    </w:p>
    <w:p w14:paraId="31A4A84D" w14:textId="77777777" w:rsidR="00E56B30" w:rsidRPr="00577043" w:rsidRDefault="00E56B30" w:rsidP="00CB2276">
      <w:pPr>
        <w:jc w:val="center"/>
        <w:rPr>
          <w:rFonts w:eastAsia="Times New Roman" w:cs="Times New Roman"/>
          <w:color w:val="000000"/>
          <w:lang w:eastAsia="da-DK"/>
        </w:rPr>
      </w:pPr>
    </w:p>
    <w:p w14:paraId="14D94F91" w14:textId="77777777" w:rsidR="004C7B0D" w:rsidRPr="008A5183" w:rsidRDefault="008A5183" w:rsidP="008A5183">
      <w:pPr>
        <w:rPr>
          <w:rFonts w:eastAsia="Times New Roman" w:cs="Times New Roman"/>
          <w:color w:val="000000"/>
          <w:lang w:eastAsia="da-DK"/>
        </w:rPr>
      </w:pPr>
      <w:r w:rsidRPr="008A5183">
        <w:rPr>
          <w:rFonts w:eastAsia="Times New Roman" w:cs="Times New Roman"/>
          <w:b/>
          <w:color w:val="000000"/>
          <w:lang w:eastAsia="da-DK"/>
        </w:rPr>
        <w:t xml:space="preserve">   § 1. </w:t>
      </w:r>
      <w:r w:rsidRPr="008A5183">
        <w:rPr>
          <w:rFonts w:eastAsia="Times New Roman" w:cs="Times New Roman"/>
          <w:color w:val="000000"/>
          <w:lang w:eastAsia="da-DK"/>
        </w:rPr>
        <w:t xml:space="preserve">Loven har til formål at fastlægge de administrative rammer for </w:t>
      </w:r>
      <w:r w:rsidR="0058651B">
        <w:rPr>
          <w:rFonts w:eastAsia="Times New Roman" w:cs="Times New Roman"/>
          <w:color w:val="000000"/>
          <w:lang w:eastAsia="da-DK"/>
        </w:rPr>
        <w:t>Lægemiddelstyrelsen</w:t>
      </w:r>
      <w:r w:rsidRPr="008A5183">
        <w:rPr>
          <w:rFonts w:eastAsia="Times New Roman" w:cs="Times New Roman"/>
          <w:color w:val="000000"/>
          <w:lang w:eastAsia="da-DK"/>
        </w:rPr>
        <w:t xml:space="preserve">s og de videnskabsetiske lægemiddelkomiteers vurdering af kliniske forsøg med lægemidler til mennesker i overensstemmelse med reglerne i Europa-Parlamentets og Rådets forordning (EU) nr. 536/2014 af 16. april 2014 om kliniske forsøg med humanmedicinske lægemidler og om ophævelse af direktiv 2001/20/EF. </w:t>
      </w:r>
    </w:p>
    <w:p w14:paraId="6FCE2CFD" w14:textId="77777777" w:rsidR="008A5183" w:rsidRPr="008A5183" w:rsidRDefault="008A5183" w:rsidP="008A5183">
      <w:pPr>
        <w:rPr>
          <w:rFonts w:eastAsia="Times New Roman" w:cs="Times New Roman"/>
          <w:color w:val="000000"/>
          <w:lang w:eastAsia="da-DK"/>
        </w:rPr>
      </w:pPr>
      <w:r w:rsidRPr="008A5183">
        <w:rPr>
          <w:rFonts w:eastAsia="Times New Roman" w:cs="Times New Roman"/>
          <w:i/>
          <w:color w:val="000000"/>
          <w:lang w:eastAsia="da-DK"/>
        </w:rPr>
        <w:t xml:space="preserve">Stk. 2. </w:t>
      </w:r>
      <w:r w:rsidRPr="008A5183">
        <w:rPr>
          <w:rFonts w:eastAsia="Times New Roman" w:cs="Times New Roman"/>
          <w:color w:val="000000"/>
          <w:lang w:eastAsia="da-DK"/>
        </w:rPr>
        <w:t xml:space="preserve">Loven har desuden til formål at fastlægge de retlige rammer for </w:t>
      </w:r>
      <w:r w:rsidR="0058651B">
        <w:rPr>
          <w:rFonts w:eastAsia="Times New Roman" w:cs="Times New Roman"/>
          <w:color w:val="000000"/>
          <w:lang w:eastAsia="da-DK"/>
        </w:rPr>
        <w:t>Lægemiddelstyrelsen</w:t>
      </w:r>
      <w:r w:rsidRPr="008A5183">
        <w:rPr>
          <w:rFonts w:eastAsia="Times New Roman" w:cs="Times New Roman"/>
          <w:color w:val="000000"/>
          <w:lang w:eastAsia="da-DK"/>
        </w:rPr>
        <w:t xml:space="preserve">s vurdering af kliniske forsøg med lægemidler til dyr. </w:t>
      </w:r>
    </w:p>
    <w:p w14:paraId="53A0D268" w14:textId="77777777" w:rsidR="007614AF" w:rsidRPr="00577043" w:rsidRDefault="007614AF" w:rsidP="00CB2276">
      <w:pPr>
        <w:rPr>
          <w:rFonts w:eastAsia="Times New Roman" w:cs="Times New Roman"/>
          <w:color w:val="000000"/>
          <w:lang w:eastAsia="da-DK"/>
        </w:rPr>
      </w:pPr>
    </w:p>
    <w:p w14:paraId="5BB4BA38" w14:textId="77777777" w:rsidR="00EC4217" w:rsidRPr="00577043" w:rsidRDefault="00EC4217" w:rsidP="00CB2276">
      <w:pPr>
        <w:rPr>
          <w:rFonts w:eastAsia="Times New Roman" w:cs="Times New Roman"/>
          <w:color w:val="000000"/>
          <w:lang w:eastAsia="da-DK"/>
        </w:rPr>
      </w:pPr>
    </w:p>
    <w:p w14:paraId="3F58D966" w14:textId="77777777" w:rsidR="00962AED" w:rsidRPr="00577043" w:rsidRDefault="00BE55CD" w:rsidP="00CB2276">
      <w:pPr>
        <w:jc w:val="center"/>
        <w:rPr>
          <w:rFonts w:eastAsia="Times New Roman" w:cs="Times New Roman"/>
          <w:b/>
          <w:color w:val="000000"/>
          <w:lang w:eastAsia="da-DK"/>
        </w:rPr>
      </w:pPr>
      <w:r w:rsidRPr="00577043">
        <w:rPr>
          <w:rFonts w:eastAsia="Times New Roman" w:cs="Times New Roman"/>
          <w:b/>
          <w:color w:val="000000"/>
          <w:lang w:eastAsia="da-DK"/>
        </w:rPr>
        <w:t>Afsnit II</w:t>
      </w:r>
    </w:p>
    <w:p w14:paraId="4E98FCD7" w14:textId="77777777" w:rsidR="004971FC" w:rsidRPr="00577043" w:rsidRDefault="004971FC" w:rsidP="00CB2276">
      <w:pPr>
        <w:jc w:val="center"/>
        <w:rPr>
          <w:rFonts w:eastAsia="Times New Roman" w:cs="Times New Roman"/>
          <w:b/>
          <w:color w:val="000000"/>
          <w:lang w:eastAsia="da-DK"/>
        </w:rPr>
      </w:pPr>
    </w:p>
    <w:p w14:paraId="5E289554" w14:textId="77777777" w:rsidR="00BE55CD" w:rsidRPr="00577043" w:rsidRDefault="00BE55CD" w:rsidP="00CB2276">
      <w:pPr>
        <w:jc w:val="center"/>
        <w:rPr>
          <w:rFonts w:eastAsia="Times New Roman" w:cs="Times New Roman"/>
          <w:b/>
          <w:color w:val="000000"/>
          <w:lang w:eastAsia="da-DK"/>
        </w:rPr>
      </w:pPr>
      <w:r w:rsidRPr="00577043">
        <w:rPr>
          <w:rFonts w:eastAsia="Times New Roman" w:cs="Times New Roman"/>
          <w:b/>
          <w:color w:val="000000"/>
          <w:lang w:eastAsia="da-DK"/>
        </w:rPr>
        <w:t xml:space="preserve">Kliniske forsøg </w:t>
      </w:r>
      <w:r w:rsidR="00123FE0">
        <w:rPr>
          <w:rFonts w:eastAsia="Times New Roman" w:cs="Times New Roman"/>
          <w:b/>
          <w:color w:val="000000"/>
          <w:lang w:eastAsia="da-DK"/>
        </w:rPr>
        <w:t xml:space="preserve">med lægemidler </w:t>
      </w:r>
      <w:r w:rsidRPr="00577043">
        <w:rPr>
          <w:rFonts w:eastAsia="Times New Roman" w:cs="Times New Roman"/>
          <w:b/>
          <w:color w:val="000000"/>
          <w:lang w:eastAsia="da-DK"/>
        </w:rPr>
        <w:t>på mennesker</w:t>
      </w:r>
    </w:p>
    <w:p w14:paraId="55F58D75" w14:textId="77777777" w:rsidR="00BE55CD" w:rsidRPr="00577043" w:rsidRDefault="00BE55CD" w:rsidP="00CB2276">
      <w:pPr>
        <w:jc w:val="center"/>
        <w:rPr>
          <w:rFonts w:eastAsia="Times New Roman" w:cs="Times New Roman"/>
          <w:b/>
          <w:color w:val="000000"/>
          <w:lang w:eastAsia="da-DK"/>
        </w:rPr>
      </w:pPr>
    </w:p>
    <w:p w14:paraId="4840A875" w14:textId="77777777" w:rsidR="00FF4CA8" w:rsidRPr="00577043" w:rsidRDefault="00364B20" w:rsidP="00CB2276">
      <w:pPr>
        <w:jc w:val="center"/>
        <w:rPr>
          <w:rFonts w:eastAsia="Times New Roman" w:cs="Times New Roman"/>
          <w:color w:val="000000"/>
          <w:lang w:eastAsia="da-DK"/>
        </w:rPr>
      </w:pPr>
      <w:r w:rsidRPr="00577043">
        <w:rPr>
          <w:rFonts w:eastAsia="Times New Roman" w:cs="Times New Roman"/>
          <w:color w:val="000000"/>
          <w:lang w:eastAsia="da-DK"/>
        </w:rPr>
        <w:t xml:space="preserve">Kapitel </w:t>
      </w:r>
      <w:r w:rsidR="00283AC1" w:rsidRPr="00577043">
        <w:rPr>
          <w:rFonts w:eastAsia="Times New Roman" w:cs="Times New Roman"/>
          <w:color w:val="000000"/>
          <w:lang w:eastAsia="da-DK"/>
        </w:rPr>
        <w:t>2</w:t>
      </w:r>
    </w:p>
    <w:p w14:paraId="738B5A01" w14:textId="77777777" w:rsidR="00E3182D" w:rsidRPr="00577043" w:rsidRDefault="00E3182D" w:rsidP="00CB2276">
      <w:pPr>
        <w:jc w:val="center"/>
        <w:rPr>
          <w:rFonts w:eastAsia="Times New Roman" w:cs="Times New Roman"/>
          <w:color w:val="000000"/>
          <w:lang w:eastAsia="da-DK"/>
        </w:rPr>
      </w:pPr>
    </w:p>
    <w:p w14:paraId="4408DFD5" w14:textId="77777777" w:rsidR="00714E3C" w:rsidRPr="00577043" w:rsidRDefault="004F239F" w:rsidP="00BE55CD">
      <w:pPr>
        <w:pStyle w:val="Overskrift2"/>
        <w:rPr>
          <w:rFonts w:eastAsia="Times New Roman" w:cs="Times New Roman"/>
          <w:b w:val="0"/>
          <w:i/>
          <w:lang w:eastAsia="da-DK"/>
        </w:rPr>
      </w:pPr>
      <w:r w:rsidRPr="00577043">
        <w:rPr>
          <w:rFonts w:eastAsia="Times New Roman" w:cs="Times New Roman"/>
          <w:b w:val="0"/>
          <w:i/>
          <w:lang w:eastAsia="da-DK"/>
        </w:rPr>
        <w:t>Stedfortrædende samtykke</w:t>
      </w:r>
    </w:p>
    <w:p w14:paraId="237FD7CE" w14:textId="77777777" w:rsidR="00BE55CD" w:rsidRPr="00577043" w:rsidRDefault="00BE55CD" w:rsidP="00BE55CD">
      <w:pPr>
        <w:rPr>
          <w:lang w:eastAsia="da-DK"/>
        </w:rPr>
      </w:pPr>
    </w:p>
    <w:p w14:paraId="7A86C31D" w14:textId="77777777" w:rsidR="00856AE7" w:rsidRPr="00577043" w:rsidRDefault="00E73E6B" w:rsidP="00856AE7">
      <w:pPr>
        <w:rPr>
          <w:rFonts w:eastAsia="Times New Roman" w:cs="Times New Roman"/>
          <w:color w:val="000000"/>
          <w:lang w:eastAsia="da-DK"/>
        </w:rPr>
      </w:pPr>
      <w:r w:rsidRPr="00577043">
        <w:rPr>
          <w:rFonts w:eastAsia="Times New Roman" w:cs="Times New Roman"/>
          <w:b/>
          <w:color w:val="000000"/>
          <w:lang w:eastAsia="da-DK"/>
        </w:rPr>
        <w:t xml:space="preserve">   </w:t>
      </w:r>
      <w:r w:rsidR="004F239F" w:rsidRPr="00577043">
        <w:rPr>
          <w:rFonts w:eastAsia="Times New Roman" w:cs="Times New Roman"/>
          <w:b/>
          <w:color w:val="000000"/>
          <w:lang w:eastAsia="da-DK"/>
        </w:rPr>
        <w:t xml:space="preserve">§ </w:t>
      </w:r>
      <w:r w:rsidR="004C3545">
        <w:rPr>
          <w:rFonts w:eastAsia="Times New Roman" w:cs="Times New Roman"/>
          <w:b/>
          <w:color w:val="000000"/>
          <w:lang w:eastAsia="da-DK"/>
        </w:rPr>
        <w:t>2</w:t>
      </w:r>
      <w:r w:rsidR="004F239F" w:rsidRPr="00577043">
        <w:rPr>
          <w:rFonts w:eastAsia="Times New Roman" w:cs="Times New Roman"/>
          <w:b/>
          <w:color w:val="000000"/>
          <w:lang w:eastAsia="da-DK"/>
        </w:rPr>
        <w:t xml:space="preserve">. </w:t>
      </w:r>
      <w:r w:rsidR="008D1949" w:rsidRPr="00577043">
        <w:rPr>
          <w:rFonts w:eastAsia="Times New Roman" w:cs="Times New Roman"/>
          <w:color w:val="000000"/>
          <w:lang w:eastAsia="da-DK"/>
        </w:rPr>
        <w:t>Stedfortrædende</w:t>
      </w:r>
      <w:r w:rsidRPr="00577043">
        <w:rPr>
          <w:rFonts w:eastAsia="Times New Roman" w:cs="Times New Roman"/>
          <w:color w:val="000000"/>
          <w:lang w:eastAsia="da-DK"/>
        </w:rPr>
        <w:t xml:space="preserve"> samtykke på vegne af mindreårige forsøgspersoner skal afgives af forældremyndigheden</w:t>
      </w:r>
      <w:r w:rsidR="00F87211">
        <w:rPr>
          <w:rFonts w:eastAsia="Times New Roman" w:cs="Times New Roman"/>
          <w:color w:val="000000"/>
          <w:lang w:eastAsia="da-DK"/>
        </w:rPr>
        <w:t>s</w:t>
      </w:r>
      <w:r w:rsidRPr="00577043">
        <w:rPr>
          <w:rFonts w:eastAsia="Times New Roman" w:cs="Times New Roman"/>
          <w:color w:val="000000"/>
          <w:lang w:eastAsia="da-DK"/>
        </w:rPr>
        <w:t xml:space="preserve"> indehaver</w:t>
      </w:r>
      <w:r w:rsidR="00856AE7" w:rsidRPr="00577043">
        <w:rPr>
          <w:rFonts w:eastAsia="Times New Roman" w:cs="Times New Roman"/>
          <w:color w:val="000000"/>
          <w:lang w:eastAsia="da-DK"/>
        </w:rPr>
        <w:t xml:space="preserve">, jf. dog </w:t>
      </w:r>
      <w:r w:rsidR="0039706B" w:rsidRPr="00577043">
        <w:rPr>
          <w:rFonts w:eastAsia="Times New Roman" w:cs="Times New Roman"/>
          <w:color w:val="000000"/>
          <w:lang w:eastAsia="da-DK"/>
        </w:rPr>
        <w:t>§ 4</w:t>
      </w:r>
      <w:r w:rsidR="00856AE7" w:rsidRPr="00577043">
        <w:rPr>
          <w:rFonts w:eastAsia="Times New Roman" w:cs="Times New Roman"/>
          <w:color w:val="000000"/>
          <w:lang w:eastAsia="da-DK"/>
        </w:rPr>
        <w:t xml:space="preserve">. </w:t>
      </w:r>
    </w:p>
    <w:p w14:paraId="1EF8221A" w14:textId="77777777" w:rsidR="00E73E6B" w:rsidRPr="00577043" w:rsidRDefault="00856AE7" w:rsidP="00CB2276">
      <w:pPr>
        <w:rPr>
          <w:rFonts w:eastAsia="Times New Roman" w:cs="Times New Roman"/>
          <w:color w:val="000000"/>
          <w:lang w:eastAsia="da-DK"/>
        </w:rPr>
      </w:pPr>
      <w:r w:rsidRPr="00577043">
        <w:rPr>
          <w:rFonts w:eastAsia="Times New Roman" w:cs="Times New Roman"/>
          <w:color w:val="000000"/>
          <w:lang w:eastAsia="da-DK"/>
        </w:rPr>
        <w:t xml:space="preserve">   </w:t>
      </w:r>
      <w:r w:rsidR="00EA006D" w:rsidRPr="00577043">
        <w:rPr>
          <w:rFonts w:eastAsia="Times New Roman" w:cs="Times New Roman"/>
          <w:i/>
          <w:color w:val="000000"/>
          <w:lang w:eastAsia="da-DK"/>
        </w:rPr>
        <w:t>Stk. 2</w:t>
      </w:r>
      <w:r w:rsidR="00E73E6B" w:rsidRPr="00577043">
        <w:rPr>
          <w:rFonts w:eastAsia="Times New Roman" w:cs="Times New Roman"/>
          <w:i/>
          <w:color w:val="000000"/>
          <w:lang w:eastAsia="da-DK"/>
        </w:rPr>
        <w:t xml:space="preserve">. </w:t>
      </w:r>
      <w:r w:rsidR="00E73E6B" w:rsidRPr="00577043">
        <w:rPr>
          <w:rFonts w:eastAsia="Times New Roman" w:cs="Times New Roman"/>
          <w:color w:val="000000"/>
          <w:lang w:eastAsia="da-DK"/>
        </w:rPr>
        <w:t xml:space="preserve">Stedfortrædende samtykke på vegne af forsøgspersoner under værgemål, der omfatter beføjelse til at meddele samtykke til deltagelse i sundhedsvidenskabelige forskningsprojekter, jf. værgemålsloven § 5, stk.1, skal gives af værgen. </w:t>
      </w:r>
    </w:p>
    <w:p w14:paraId="30410EF2" w14:textId="77777777" w:rsidR="00E73E6B" w:rsidRPr="00577043" w:rsidRDefault="00E73E6B" w:rsidP="00CB2276">
      <w:pPr>
        <w:rPr>
          <w:rFonts w:eastAsia="Times New Roman" w:cs="Times New Roman"/>
          <w:color w:val="000000"/>
          <w:lang w:eastAsia="da-DK"/>
        </w:rPr>
      </w:pPr>
      <w:r w:rsidRPr="00577043">
        <w:rPr>
          <w:rFonts w:eastAsia="Times New Roman" w:cs="Times New Roman"/>
          <w:color w:val="000000"/>
          <w:lang w:eastAsia="da-DK"/>
        </w:rPr>
        <w:t xml:space="preserve">   </w:t>
      </w:r>
      <w:r w:rsidR="00EA006D" w:rsidRPr="00577043">
        <w:rPr>
          <w:rFonts w:eastAsia="Times New Roman" w:cs="Times New Roman"/>
          <w:i/>
          <w:color w:val="000000"/>
          <w:lang w:eastAsia="da-DK"/>
        </w:rPr>
        <w:t>Stk. 3</w:t>
      </w:r>
      <w:r w:rsidRPr="00577043">
        <w:rPr>
          <w:rFonts w:eastAsia="Times New Roman" w:cs="Times New Roman"/>
          <w:i/>
          <w:color w:val="000000"/>
          <w:lang w:eastAsia="da-DK"/>
        </w:rPr>
        <w:t>.</w:t>
      </w:r>
      <w:r w:rsidRPr="00577043">
        <w:rPr>
          <w:rFonts w:eastAsia="Times New Roman" w:cs="Times New Roman"/>
          <w:color w:val="000000"/>
          <w:lang w:eastAsia="da-DK"/>
        </w:rPr>
        <w:t xml:space="preserve"> Stedfortrædende samtykke på vegne af </w:t>
      </w:r>
      <w:r w:rsidR="009605D5" w:rsidRPr="00577043">
        <w:rPr>
          <w:rFonts w:eastAsia="Times New Roman" w:cs="Times New Roman"/>
          <w:color w:val="000000"/>
          <w:lang w:eastAsia="da-DK"/>
        </w:rPr>
        <w:t xml:space="preserve">øvrige </w:t>
      </w:r>
      <w:r w:rsidRPr="00577043">
        <w:rPr>
          <w:rFonts w:eastAsia="Times New Roman" w:cs="Times New Roman"/>
          <w:color w:val="000000"/>
          <w:lang w:eastAsia="da-DK"/>
        </w:rPr>
        <w:t xml:space="preserve">forsøgspersoner </w:t>
      </w:r>
      <w:r w:rsidR="00B309D4" w:rsidRPr="00577043">
        <w:rPr>
          <w:rFonts w:eastAsia="Times New Roman" w:cs="Times New Roman"/>
          <w:color w:val="000000"/>
          <w:lang w:eastAsia="da-DK"/>
        </w:rPr>
        <w:t xml:space="preserve">uden handleevne </w:t>
      </w:r>
      <w:r w:rsidRPr="00577043">
        <w:rPr>
          <w:rFonts w:eastAsia="Times New Roman" w:cs="Times New Roman"/>
          <w:color w:val="000000"/>
          <w:lang w:eastAsia="da-DK"/>
        </w:rPr>
        <w:t>skal gives af den nærmeste pårørende og</w:t>
      </w:r>
      <w:r w:rsidR="000A7A35" w:rsidRPr="00577043">
        <w:rPr>
          <w:rFonts w:eastAsia="Times New Roman" w:cs="Times New Roman"/>
          <w:color w:val="000000"/>
          <w:lang w:eastAsia="da-DK"/>
        </w:rPr>
        <w:t xml:space="preserve"> </w:t>
      </w:r>
      <w:r w:rsidR="00200453" w:rsidRPr="00577043">
        <w:rPr>
          <w:rFonts w:eastAsia="Times New Roman" w:cs="Times New Roman"/>
          <w:color w:val="000000"/>
          <w:lang w:eastAsia="da-DK"/>
        </w:rPr>
        <w:t>forsøgs</w:t>
      </w:r>
      <w:r w:rsidR="000A7A35" w:rsidRPr="00577043">
        <w:rPr>
          <w:rFonts w:eastAsia="Times New Roman" w:cs="Times New Roman"/>
          <w:color w:val="000000"/>
          <w:lang w:eastAsia="da-DK"/>
        </w:rPr>
        <w:t>værge</w:t>
      </w:r>
      <w:r w:rsidR="00FA519F" w:rsidRPr="00577043">
        <w:rPr>
          <w:rFonts w:eastAsia="Times New Roman" w:cs="Times New Roman"/>
          <w:color w:val="000000"/>
          <w:lang w:eastAsia="da-DK"/>
        </w:rPr>
        <w:t xml:space="preserve">n. Forsøgsværgen er </w:t>
      </w:r>
      <w:r w:rsidR="00181266" w:rsidRPr="00577043">
        <w:rPr>
          <w:rFonts w:eastAsia="Times New Roman" w:cs="Times New Roman"/>
          <w:color w:val="000000"/>
          <w:lang w:eastAsia="da-DK"/>
        </w:rPr>
        <w:t>en læge</w:t>
      </w:r>
      <w:r w:rsidR="00FA519F" w:rsidRPr="00577043">
        <w:rPr>
          <w:rFonts w:eastAsia="Times New Roman" w:cs="Times New Roman"/>
          <w:color w:val="000000"/>
          <w:lang w:eastAsia="da-DK"/>
        </w:rPr>
        <w:t>, som er</w:t>
      </w:r>
      <w:r w:rsidR="00181266" w:rsidRPr="00577043">
        <w:rPr>
          <w:rFonts w:eastAsia="Times New Roman" w:cs="Times New Roman"/>
          <w:color w:val="000000"/>
          <w:lang w:eastAsia="da-DK"/>
        </w:rPr>
        <w:t xml:space="preserve"> uafhængig af </w:t>
      </w:r>
      <w:r w:rsidR="00007C07" w:rsidRPr="00577043">
        <w:rPr>
          <w:rFonts w:eastAsia="Times New Roman" w:cs="Times New Roman"/>
          <w:color w:val="000000"/>
          <w:lang w:eastAsia="da-DK"/>
        </w:rPr>
        <w:t>investigator</w:t>
      </w:r>
      <w:r w:rsidR="00181266" w:rsidRPr="00577043">
        <w:rPr>
          <w:rFonts w:eastAsia="Times New Roman" w:cs="Times New Roman"/>
          <w:color w:val="000000"/>
          <w:lang w:eastAsia="da-DK"/>
        </w:rPr>
        <w:t>s interesser og af interesser i det kliniske forsøg med lægemidler i øvrigt</w:t>
      </w:r>
      <w:r w:rsidRPr="00577043">
        <w:rPr>
          <w:rFonts w:eastAsia="Times New Roman" w:cs="Times New Roman"/>
          <w:color w:val="000000"/>
          <w:lang w:eastAsia="da-DK"/>
        </w:rPr>
        <w:t xml:space="preserve">. </w:t>
      </w:r>
    </w:p>
    <w:p w14:paraId="4AE7290A" w14:textId="77777777" w:rsidR="00080516" w:rsidRPr="00577043" w:rsidRDefault="00E73E6B" w:rsidP="00CB2276">
      <w:pPr>
        <w:rPr>
          <w:rFonts w:eastAsia="Times New Roman" w:cs="Times New Roman"/>
          <w:color w:val="000000"/>
          <w:lang w:eastAsia="da-DK"/>
        </w:rPr>
      </w:pPr>
      <w:r w:rsidRPr="00577043">
        <w:rPr>
          <w:rFonts w:eastAsia="Times New Roman" w:cs="Times New Roman"/>
          <w:color w:val="000000"/>
          <w:lang w:eastAsia="da-DK"/>
        </w:rPr>
        <w:t xml:space="preserve">   </w:t>
      </w:r>
      <w:r w:rsidR="00EA006D" w:rsidRPr="00577043">
        <w:rPr>
          <w:rFonts w:eastAsia="Times New Roman" w:cs="Times New Roman"/>
          <w:i/>
          <w:color w:val="000000"/>
          <w:lang w:eastAsia="da-DK"/>
        </w:rPr>
        <w:t>Stk. 4</w:t>
      </w:r>
      <w:r w:rsidRPr="00577043">
        <w:rPr>
          <w:rFonts w:eastAsia="Times New Roman" w:cs="Times New Roman"/>
          <w:i/>
          <w:color w:val="000000"/>
          <w:lang w:eastAsia="da-DK"/>
        </w:rPr>
        <w:t>.</w:t>
      </w:r>
      <w:r w:rsidRPr="00577043">
        <w:rPr>
          <w:rFonts w:eastAsia="Times New Roman" w:cs="Times New Roman"/>
          <w:color w:val="000000"/>
          <w:lang w:eastAsia="da-DK"/>
        </w:rPr>
        <w:t xml:space="preserve"> Det stedfortrædende samtykke skal være udtryk for forsøgspersonens interesse.</w:t>
      </w:r>
    </w:p>
    <w:p w14:paraId="211E3748" w14:textId="77777777" w:rsidR="00E73E6B" w:rsidRPr="00577043" w:rsidRDefault="00E73E6B" w:rsidP="00CB2276">
      <w:pPr>
        <w:rPr>
          <w:rFonts w:eastAsia="Times New Roman" w:cs="Times New Roman"/>
          <w:color w:val="000000"/>
          <w:lang w:eastAsia="da-DK"/>
        </w:rPr>
      </w:pPr>
    </w:p>
    <w:p w14:paraId="1F3B860C" w14:textId="77777777" w:rsidR="00B40FB8" w:rsidRPr="00577043" w:rsidRDefault="00B40FB8" w:rsidP="001471BE">
      <w:pPr>
        <w:rPr>
          <w:rFonts w:eastAsia="Times New Roman" w:cs="Times New Roman"/>
          <w:color w:val="000000"/>
          <w:lang w:eastAsia="da-DK"/>
        </w:rPr>
      </w:pPr>
    </w:p>
    <w:p w14:paraId="49923960" w14:textId="77777777" w:rsidR="007B5383" w:rsidRPr="00577043" w:rsidRDefault="0039706B" w:rsidP="0039706B">
      <w:pPr>
        <w:tabs>
          <w:tab w:val="left" w:pos="7830"/>
        </w:tabs>
        <w:rPr>
          <w:rFonts w:eastAsia="Times New Roman" w:cs="Times New Roman"/>
          <w:color w:val="000000"/>
          <w:lang w:eastAsia="da-DK"/>
        </w:rPr>
      </w:pPr>
      <w:r w:rsidRPr="00577043">
        <w:rPr>
          <w:rFonts w:eastAsia="Times New Roman" w:cs="Times New Roman"/>
          <w:color w:val="000000"/>
          <w:lang w:eastAsia="da-DK"/>
        </w:rPr>
        <w:tab/>
      </w:r>
    </w:p>
    <w:p w14:paraId="09AFE880" w14:textId="77777777" w:rsidR="00B40FB8" w:rsidRPr="00577043" w:rsidRDefault="00EA006D" w:rsidP="00B40FB8">
      <w:pPr>
        <w:pStyle w:val="Overskrift2"/>
        <w:rPr>
          <w:rFonts w:eastAsia="Times New Roman"/>
          <w:b w:val="0"/>
          <w:i/>
          <w:lang w:eastAsia="da-DK"/>
        </w:rPr>
      </w:pPr>
      <w:r w:rsidRPr="00577043">
        <w:rPr>
          <w:rFonts w:eastAsia="Times New Roman"/>
          <w:b w:val="0"/>
          <w:i/>
          <w:lang w:eastAsia="da-DK"/>
        </w:rPr>
        <w:t>S</w:t>
      </w:r>
      <w:r w:rsidR="0039706B" w:rsidRPr="00577043">
        <w:rPr>
          <w:rFonts w:eastAsia="Times New Roman"/>
          <w:b w:val="0"/>
          <w:i/>
          <w:lang w:eastAsia="da-DK"/>
        </w:rPr>
        <w:t xml:space="preserve">amtykke </w:t>
      </w:r>
      <w:r w:rsidR="00626F87" w:rsidRPr="00577043">
        <w:rPr>
          <w:rFonts w:eastAsia="Times New Roman"/>
          <w:b w:val="0"/>
          <w:i/>
          <w:lang w:eastAsia="da-DK"/>
        </w:rPr>
        <w:t xml:space="preserve">fra </w:t>
      </w:r>
      <w:r w:rsidR="0039706B" w:rsidRPr="00577043">
        <w:rPr>
          <w:rFonts w:eastAsia="Times New Roman"/>
          <w:b w:val="0"/>
          <w:i/>
          <w:lang w:eastAsia="da-DK"/>
        </w:rPr>
        <w:t xml:space="preserve">15 til </w:t>
      </w:r>
      <w:r w:rsidR="00B40FB8" w:rsidRPr="00577043">
        <w:rPr>
          <w:rFonts w:eastAsia="Times New Roman"/>
          <w:b w:val="0"/>
          <w:i/>
          <w:lang w:eastAsia="da-DK"/>
        </w:rPr>
        <w:t>18-årige</w:t>
      </w:r>
    </w:p>
    <w:p w14:paraId="3C773B0F" w14:textId="77777777" w:rsidR="00B40FB8" w:rsidRPr="00577043" w:rsidRDefault="00B40FB8" w:rsidP="00CB2276">
      <w:pPr>
        <w:rPr>
          <w:rFonts w:eastAsia="Times New Roman" w:cs="Times New Roman"/>
          <w:color w:val="000000"/>
          <w:lang w:eastAsia="da-DK"/>
        </w:rPr>
      </w:pPr>
    </w:p>
    <w:p w14:paraId="45219002" w14:textId="77777777" w:rsidR="00B40FB8" w:rsidRPr="00577043" w:rsidRDefault="00B40FB8" w:rsidP="00B40FB8">
      <w:pPr>
        <w:rPr>
          <w:rFonts w:eastAsia="Times New Roman" w:cs="Times New Roman"/>
          <w:color w:val="000000"/>
          <w:lang w:eastAsia="da-DK"/>
        </w:rPr>
      </w:pPr>
      <w:r w:rsidRPr="00577043">
        <w:rPr>
          <w:rFonts w:eastAsia="Times New Roman" w:cs="Times New Roman"/>
          <w:color w:val="000000"/>
          <w:lang w:eastAsia="da-DK"/>
        </w:rPr>
        <w:t xml:space="preserve">   </w:t>
      </w:r>
      <w:r w:rsidRPr="00577043">
        <w:rPr>
          <w:rFonts w:eastAsia="Times New Roman" w:cs="Times New Roman"/>
          <w:b/>
          <w:color w:val="000000"/>
          <w:lang w:eastAsia="da-DK"/>
        </w:rPr>
        <w:t xml:space="preserve">§ </w:t>
      </w:r>
      <w:r w:rsidR="004C3545">
        <w:rPr>
          <w:rFonts w:eastAsia="Times New Roman" w:cs="Times New Roman"/>
          <w:b/>
          <w:color w:val="000000"/>
          <w:lang w:eastAsia="da-DK"/>
        </w:rPr>
        <w:t>3</w:t>
      </w:r>
      <w:r w:rsidRPr="00577043">
        <w:rPr>
          <w:rFonts w:eastAsia="Times New Roman" w:cs="Times New Roman"/>
          <w:b/>
          <w:color w:val="000000"/>
          <w:lang w:eastAsia="da-DK"/>
        </w:rPr>
        <w:t xml:space="preserve">. </w:t>
      </w:r>
      <w:r w:rsidRPr="00577043">
        <w:rPr>
          <w:rFonts w:eastAsia="Times New Roman" w:cs="Times New Roman"/>
          <w:color w:val="000000"/>
          <w:lang w:eastAsia="da-DK"/>
        </w:rPr>
        <w:t>Et klinisk forsøg må kun gennemføres på en forsøgsperson, der er fyldt 15 år, men ikke myndig, såfremt forsøgspersonen tillige med forældremyndighedens indehaver giver samtykke hertil</w:t>
      </w:r>
      <w:r w:rsidR="005B54CF" w:rsidRPr="00577043">
        <w:rPr>
          <w:rFonts w:eastAsia="Times New Roman" w:cs="Times New Roman"/>
          <w:color w:val="000000"/>
          <w:lang w:eastAsia="da-DK"/>
        </w:rPr>
        <w:t xml:space="preserve">, jf. § </w:t>
      </w:r>
      <w:r w:rsidR="004C3545">
        <w:rPr>
          <w:rFonts w:eastAsia="Times New Roman" w:cs="Times New Roman"/>
          <w:color w:val="000000"/>
          <w:lang w:eastAsia="da-DK"/>
        </w:rPr>
        <w:t>2</w:t>
      </w:r>
      <w:r w:rsidR="005B54CF" w:rsidRPr="00577043">
        <w:rPr>
          <w:rFonts w:eastAsia="Times New Roman" w:cs="Times New Roman"/>
          <w:color w:val="000000"/>
          <w:lang w:eastAsia="da-DK"/>
        </w:rPr>
        <w:t>, stk. 1</w:t>
      </w:r>
      <w:r w:rsidRPr="00577043">
        <w:rPr>
          <w:rFonts w:eastAsia="Times New Roman" w:cs="Times New Roman"/>
          <w:color w:val="000000"/>
          <w:lang w:eastAsia="da-DK"/>
        </w:rPr>
        <w:t>.</w:t>
      </w:r>
    </w:p>
    <w:p w14:paraId="339E633C" w14:textId="77777777" w:rsidR="00B40FB8" w:rsidRPr="00577043" w:rsidRDefault="00B40FB8" w:rsidP="00CB2276">
      <w:pPr>
        <w:rPr>
          <w:rFonts w:eastAsia="Times New Roman" w:cs="Times New Roman"/>
          <w:b/>
          <w:color w:val="000000"/>
          <w:lang w:eastAsia="da-DK"/>
        </w:rPr>
      </w:pPr>
    </w:p>
    <w:p w14:paraId="5E51CBB6" w14:textId="77777777" w:rsidR="00E715E3" w:rsidRPr="00577043" w:rsidRDefault="00E715E3" w:rsidP="00CB2276">
      <w:pPr>
        <w:rPr>
          <w:rFonts w:eastAsia="Times New Roman" w:cs="Times New Roman"/>
          <w:b/>
          <w:color w:val="000000"/>
          <w:lang w:eastAsia="da-DK"/>
        </w:rPr>
      </w:pPr>
    </w:p>
    <w:p w14:paraId="0300F9EF" w14:textId="77777777" w:rsidR="00E715E3" w:rsidRPr="00577043" w:rsidRDefault="00E715E3" w:rsidP="00932AD9">
      <w:pPr>
        <w:rPr>
          <w:rFonts w:eastAsia="Times New Roman" w:cs="Times New Roman"/>
          <w:b/>
          <w:color w:val="000000"/>
          <w:lang w:eastAsia="da-DK"/>
        </w:rPr>
      </w:pPr>
    </w:p>
    <w:p w14:paraId="5781001E" w14:textId="77777777" w:rsidR="00E715E3" w:rsidRPr="00577043" w:rsidRDefault="00E715E3" w:rsidP="00E715E3">
      <w:pPr>
        <w:pStyle w:val="Overskrift2"/>
        <w:rPr>
          <w:rFonts w:eastAsia="Times New Roman"/>
          <w:b w:val="0"/>
          <w:i/>
          <w:lang w:eastAsia="da-DK"/>
        </w:rPr>
      </w:pPr>
      <w:r w:rsidRPr="00577043">
        <w:rPr>
          <w:rFonts w:eastAsia="Times New Roman"/>
          <w:b w:val="0"/>
          <w:i/>
          <w:lang w:eastAsia="da-DK"/>
        </w:rPr>
        <w:t>Information</w:t>
      </w:r>
      <w:r w:rsidR="002422CC" w:rsidRPr="00577043">
        <w:rPr>
          <w:rFonts w:eastAsia="Times New Roman"/>
          <w:b w:val="0"/>
          <w:i/>
          <w:lang w:eastAsia="da-DK"/>
        </w:rPr>
        <w:t xml:space="preserve"> og samtykke</w:t>
      </w:r>
    </w:p>
    <w:p w14:paraId="0AEE64E2" w14:textId="77777777" w:rsidR="000938A6" w:rsidRPr="00577043" w:rsidRDefault="000938A6" w:rsidP="000938A6">
      <w:pPr>
        <w:rPr>
          <w:lang w:eastAsia="da-DK"/>
        </w:rPr>
      </w:pPr>
    </w:p>
    <w:p w14:paraId="76A0DE62" w14:textId="77777777" w:rsidR="002422CC" w:rsidRPr="00577043" w:rsidRDefault="00932AD9" w:rsidP="00932AD9">
      <w:pPr>
        <w:rPr>
          <w:rFonts w:eastAsia="Times New Roman" w:cs="Times New Roman"/>
          <w:b/>
          <w:color w:val="000000"/>
          <w:lang w:eastAsia="da-DK"/>
        </w:rPr>
      </w:pPr>
      <w:r w:rsidRPr="00577043">
        <w:rPr>
          <w:rFonts w:eastAsia="Times New Roman" w:cs="Times New Roman"/>
          <w:b/>
          <w:color w:val="000000"/>
          <w:lang w:eastAsia="da-DK"/>
        </w:rPr>
        <w:t>§ 4.</w:t>
      </w:r>
      <w:r w:rsidR="002422CC" w:rsidRPr="00577043">
        <w:rPr>
          <w:rFonts w:eastAsia="Times New Roman" w:cs="Times New Roman"/>
          <w:b/>
          <w:color w:val="000000"/>
          <w:lang w:eastAsia="da-DK"/>
        </w:rPr>
        <w:t xml:space="preserve"> </w:t>
      </w:r>
      <w:r w:rsidR="00AD186E">
        <w:rPr>
          <w:rFonts w:eastAsia="Times New Roman" w:cs="Times New Roman"/>
          <w:color w:val="000000"/>
          <w:lang w:eastAsia="da-DK"/>
        </w:rPr>
        <w:t xml:space="preserve"> Kravet om en underskrift efter forordn</w:t>
      </w:r>
      <w:r w:rsidR="000006A3">
        <w:rPr>
          <w:rFonts w:eastAsia="Times New Roman" w:cs="Times New Roman"/>
          <w:color w:val="000000"/>
          <w:lang w:eastAsia="da-DK"/>
        </w:rPr>
        <w:t>ingens artikel 29 kan opfyldes ve</w:t>
      </w:r>
      <w:r w:rsidR="00AD186E">
        <w:rPr>
          <w:rFonts w:eastAsia="Times New Roman" w:cs="Times New Roman"/>
          <w:color w:val="000000"/>
          <w:lang w:eastAsia="da-DK"/>
        </w:rPr>
        <w:t>d anvendelse af en teknik, der sikrer entydig identifikation af den</w:t>
      </w:r>
      <w:r w:rsidR="000006A3">
        <w:rPr>
          <w:rFonts w:eastAsia="Times New Roman" w:cs="Times New Roman"/>
          <w:color w:val="000000"/>
          <w:lang w:eastAsia="da-DK"/>
        </w:rPr>
        <w:t xml:space="preserve"> person, som skal underskrive dokumentet. </w:t>
      </w:r>
      <w:r w:rsidR="009A6669">
        <w:rPr>
          <w:rFonts w:eastAsia="Times New Roman" w:cs="Times New Roman"/>
          <w:color w:val="000000"/>
          <w:lang w:eastAsia="da-DK"/>
        </w:rPr>
        <w:t xml:space="preserve"> </w:t>
      </w:r>
    </w:p>
    <w:p w14:paraId="14803CDB" w14:textId="77777777" w:rsidR="00932AD9" w:rsidRDefault="002422CC" w:rsidP="00932AD9">
      <w:pPr>
        <w:rPr>
          <w:rFonts w:eastAsia="Times New Roman" w:cs="Times New Roman"/>
          <w:color w:val="000000"/>
          <w:lang w:eastAsia="da-DK"/>
        </w:rPr>
      </w:pPr>
      <w:r w:rsidRPr="00577043">
        <w:rPr>
          <w:rFonts w:eastAsia="Times New Roman" w:cs="Times New Roman"/>
          <w:b/>
          <w:color w:val="000000"/>
          <w:lang w:eastAsia="da-DK"/>
        </w:rPr>
        <w:t xml:space="preserve">   </w:t>
      </w:r>
      <w:r w:rsidRPr="00577043">
        <w:rPr>
          <w:rFonts w:eastAsia="Times New Roman" w:cs="Times New Roman"/>
          <w:i/>
          <w:color w:val="000000"/>
          <w:lang w:eastAsia="da-DK"/>
        </w:rPr>
        <w:t xml:space="preserve">Stk. 2. </w:t>
      </w:r>
      <w:r w:rsidR="00A22EAD" w:rsidRPr="00577043">
        <w:rPr>
          <w:rFonts w:eastAsia="Times New Roman" w:cs="Times New Roman"/>
          <w:color w:val="000000"/>
          <w:lang w:eastAsia="da-DK"/>
        </w:rPr>
        <w:t>Sundheds- og ældreministeren</w:t>
      </w:r>
      <w:r w:rsidR="00932AD9" w:rsidRPr="00577043">
        <w:rPr>
          <w:rFonts w:eastAsia="Times New Roman" w:cs="Times New Roman"/>
          <w:color w:val="000000"/>
          <w:lang w:eastAsia="da-DK"/>
        </w:rPr>
        <w:t xml:space="preserve"> kan fastsætte nærmere regler om indholdet af deltagerinformationen</w:t>
      </w:r>
      <w:r w:rsidRPr="00577043">
        <w:rPr>
          <w:rFonts w:eastAsia="Times New Roman" w:cs="Times New Roman"/>
          <w:color w:val="000000"/>
          <w:lang w:eastAsia="da-DK"/>
        </w:rPr>
        <w:t xml:space="preserve"> og krav til underskrifte</w:t>
      </w:r>
      <w:r w:rsidR="00B552AD" w:rsidRPr="00577043">
        <w:rPr>
          <w:rFonts w:eastAsia="Times New Roman" w:cs="Times New Roman"/>
          <w:color w:val="000000"/>
          <w:lang w:eastAsia="da-DK"/>
        </w:rPr>
        <w:t>ns form</w:t>
      </w:r>
      <w:r w:rsidR="00932AD9" w:rsidRPr="00577043">
        <w:rPr>
          <w:rFonts w:eastAsia="Times New Roman" w:cs="Times New Roman"/>
          <w:color w:val="000000"/>
          <w:lang w:eastAsia="da-DK"/>
        </w:rPr>
        <w:t>.</w:t>
      </w:r>
    </w:p>
    <w:p w14:paraId="16AB5CBA" w14:textId="77777777" w:rsidR="00A9198A" w:rsidRDefault="00A9198A" w:rsidP="00932AD9">
      <w:pPr>
        <w:rPr>
          <w:rFonts w:eastAsia="Times New Roman" w:cs="Times New Roman"/>
          <w:color w:val="000000"/>
          <w:lang w:eastAsia="da-DK"/>
        </w:rPr>
      </w:pPr>
      <w:r>
        <w:rPr>
          <w:rFonts w:eastAsia="Times New Roman" w:cs="Times New Roman"/>
          <w:color w:val="000000"/>
          <w:lang w:eastAsia="da-DK"/>
        </w:rPr>
        <w:t xml:space="preserve">   </w:t>
      </w:r>
      <w:r>
        <w:rPr>
          <w:rFonts w:eastAsia="Times New Roman" w:cs="Times New Roman"/>
          <w:i/>
          <w:color w:val="000000"/>
          <w:lang w:eastAsia="da-DK"/>
        </w:rPr>
        <w:t xml:space="preserve">Stk. 3. </w:t>
      </w:r>
      <w:r w:rsidRPr="00A9198A">
        <w:rPr>
          <w:rFonts w:eastAsia="Times New Roman" w:cs="Times New Roman"/>
          <w:color w:val="000000"/>
          <w:lang w:eastAsia="da-DK"/>
        </w:rPr>
        <w:t xml:space="preserve">Sundheds- og ældreministeren kan </w:t>
      </w:r>
      <w:r w:rsidR="00A53872">
        <w:rPr>
          <w:rFonts w:eastAsia="Times New Roman" w:cs="Times New Roman"/>
          <w:color w:val="000000"/>
          <w:lang w:eastAsia="da-DK"/>
        </w:rPr>
        <w:t>fastsætte nærmere regler om</w:t>
      </w:r>
      <w:r w:rsidR="003473F1">
        <w:rPr>
          <w:rFonts w:eastAsia="Times New Roman" w:cs="Times New Roman"/>
          <w:color w:val="000000"/>
          <w:lang w:eastAsia="da-DK"/>
        </w:rPr>
        <w:t xml:space="preserve"> kvalifikationer hos d</w:t>
      </w:r>
      <w:r w:rsidR="00A53872">
        <w:rPr>
          <w:rFonts w:eastAsia="Times New Roman" w:cs="Times New Roman"/>
          <w:color w:val="000000"/>
          <w:lang w:eastAsia="da-DK"/>
        </w:rPr>
        <w:t xml:space="preserve">en person, som giver den mundtlige information og modtager det informerede samtykke fra forsøgspersonen. </w:t>
      </w:r>
    </w:p>
    <w:p w14:paraId="471103C4" w14:textId="77777777" w:rsidR="009A5635" w:rsidRPr="009A5635" w:rsidRDefault="009A5635" w:rsidP="00932AD9">
      <w:pPr>
        <w:rPr>
          <w:rFonts w:eastAsia="Times New Roman" w:cs="Times New Roman"/>
          <w:color w:val="000000"/>
          <w:lang w:eastAsia="da-DK"/>
        </w:rPr>
      </w:pPr>
      <w:r>
        <w:rPr>
          <w:rFonts w:eastAsia="Times New Roman" w:cs="Times New Roman"/>
          <w:color w:val="000000"/>
          <w:lang w:eastAsia="da-DK"/>
        </w:rPr>
        <w:t xml:space="preserve">   </w:t>
      </w:r>
      <w:r>
        <w:rPr>
          <w:rFonts w:eastAsia="Times New Roman" w:cs="Times New Roman"/>
          <w:i/>
          <w:color w:val="000000"/>
          <w:lang w:eastAsia="da-DK"/>
        </w:rPr>
        <w:t>Stk. 4.</w:t>
      </w:r>
      <w:r>
        <w:rPr>
          <w:rFonts w:eastAsia="Times New Roman" w:cs="Times New Roman"/>
          <w:color w:val="000000"/>
          <w:lang w:eastAsia="da-DK"/>
        </w:rPr>
        <w:t xml:space="preserve"> Sundheds</w:t>
      </w:r>
      <w:r w:rsidR="00D56E75">
        <w:rPr>
          <w:rFonts w:eastAsia="Times New Roman" w:cs="Times New Roman"/>
          <w:color w:val="000000"/>
          <w:lang w:eastAsia="da-DK"/>
        </w:rPr>
        <w:t>- og ældre</w:t>
      </w:r>
      <w:r>
        <w:rPr>
          <w:rFonts w:eastAsia="Times New Roman" w:cs="Times New Roman"/>
          <w:color w:val="000000"/>
          <w:lang w:eastAsia="da-DK"/>
        </w:rPr>
        <w:t>mi</w:t>
      </w:r>
      <w:r w:rsidR="00493426">
        <w:rPr>
          <w:rFonts w:eastAsia="Times New Roman" w:cs="Times New Roman"/>
          <w:color w:val="000000"/>
          <w:lang w:eastAsia="da-DK"/>
        </w:rPr>
        <w:t>ni</w:t>
      </w:r>
      <w:r>
        <w:rPr>
          <w:rFonts w:eastAsia="Times New Roman" w:cs="Times New Roman"/>
          <w:color w:val="000000"/>
          <w:lang w:eastAsia="da-DK"/>
        </w:rPr>
        <w:t xml:space="preserve">steren kan fastsætte nærmere </w:t>
      </w:r>
      <w:r w:rsidR="00493426">
        <w:rPr>
          <w:rFonts w:eastAsia="Times New Roman" w:cs="Times New Roman"/>
          <w:color w:val="000000"/>
          <w:lang w:eastAsia="da-DK"/>
        </w:rPr>
        <w:t xml:space="preserve">regler </w:t>
      </w:r>
      <w:r w:rsidR="003473F1">
        <w:rPr>
          <w:rFonts w:eastAsia="Times New Roman" w:cs="Times New Roman"/>
          <w:color w:val="000000"/>
          <w:lang w:eastAsia="da-DK"/>
        </w:rPr>
        <w:t>om</w:t>
      </w:r>
      <w:r w:rsidR="00493426">
        <w:rPr>
          <w:rFonts w:eastAsia="Times New Roman" w:cs="Times New Roman"/>
          <w:color w:val="000000"/>
          <w:lang w:eastAsia="da-DK"/>
        </w:rPr>
        <w:t xml:space="preserve"> samtykke og deltagelse i forsøg for personer</w:t>
      </w:r>
      <w:r w:rsidR="008A092F">
        <w:rPr>
          <w:rFonts w:eastAsia="Times New Roman" w:cs="Times New Roman"/>
          <w:color w:val="000000"/>
          <w:lang w:eastAsia="da-DK"/>
        </w:rPr>
        <w:t>, som kan være</w:t>
      </w:r>
      <w:r w:rsidR="00493426">
        <w:rPr>
          <w:rFonts w:eastAsia="Times New Roman" w:cs="Times New Roman"/>
          <w:color w:val="000000"/>
          <w:lang w:eastAsia="da-DK"/>
        </w:rPr>
        <w:t xml:space="preserve"> udsat for </w:t>
      </w:r>
      <w:r w:rsidR="008A092F">
        <w:rPr>
          <w:rFonts w:eastAsia="Times New Roman" w:cs="Times New Roman"/>
          <w:color w:val="000000"/>
          <w:lang w:eastAsia="da-DK"/>
        </w:rPr>
        <w:t xml:space="preserve">et særligt </w:t>
      </w:r>
      <w:r w:rsidR="00493426">
        <w:rPr>
          <w:rFonts w:eastAsia="Times New Roman" w:cs="Times New Roman"/>
          <w:color w:val="000000"/>
          <w:lang w:eastAsia="da-DK"/>
        </w:rPr>
        <w:t>pres</w:t>
      </w:r>
      <w:r w:rsidR="008A092F">
        <w:rPr>
          <w:rFonts w:eastAsia="Times New Roman" w:cs="Times New Roman"/>
          <w:color w:val="000000"/>
          <w:lang w:eastAsia="da-DK"/>
        </w:rPr>
        <w:t xml:space="preserve"> for deltagelse i et klinisk forsøg med lægemidler.</w:t>
      </w:r>
    </w:p>
    <w:p w14:paraId="72CA58E2" w14:textId="77777777" w:rsidR="00932AD9" w:rsidRDefault="00932AD9" w:rsidP="00CB2276">
      <w:pPr>
        <w:rPr>
          <w:rFonts w:eastAsia="Times New Roman" w:cs="Times New Roman"/>
          <w:color w:val="000000"/>
          <w:lang w:eastAsia="da-DK"/>
        </w:rPr>
      </w:pPr>
    </w:p>
    <w:p w14:paraId="57C0B868" w14:textId="77777777" w:rsidR="00A104D5" w:rsidRPr="00577043" w:rsidRDefault="00A104D5" w:rsidP="00A104D5">
      <w:pPr>
        <w:jc w:val="center"/>
        <w:rPr>
          <w:rFonts w:cs="Times New Roman"/>
          <w:lang w:eastAsia="da-DK"/>
        </w:rPr>
      </w:pPr>
      <w:r w:rsidRPr="00577043">
        <w:rPr>
          <w:rFonts w:cs="Times New Roman"/>
          <w:lang w:eastAsia="da-DK"/>
        </w:rPr>
        <w:t xml:space="preserve">Kapitel </w:t>
      </w:r>
      <w:r w:rsidR="00434E2A">
        <w:rPr>
          <w:rFonts w:cs="Times New Roman"/>
          <w:lang w:eastAsia="da-DK"/>
        </w:rPr>
        <w:t>3</w:t>
      </w:r>
    </w:p>
    <w:p w14:paraId="176F539D" w14:textId="77777777" w:rsidR="00A104D5" w:rsidRPr="00577043" w:rsidRDefault="00A104D5" w:rsidP="00A104D5">
      <w:pPr>
        <w:rPr>
          <w:lang w:eastAsia="da-DK"/>
        </w:rPr>
      </w:pPr>
    </w:p>
    <w:p w14:paraId="24E75BBE" w14:textId="77777777" w:rsidR="00A104D5" w:rsidRPr="00577043" w:rsidRDefault="00A104D5" w:rsidP="00A104D5">
      <w:pPr>
        <w:pStyle w:val="Overskrift2"/>
        <w:rPr>
          <w:rFonts w:eastAsia="Times New Roman" w:cs="Times New Roman"/>
          <w:b w:val="0"/>
          <w:i/>
          <w:lang w:eastAsia="da-DK"/>
        </w:rPr>
      </w:pPr>
      <w:r w:rsidRPr="00577043">
        <w:rPr>
          <w:rFonts w:eastAsia="Times New Roman" w:cs="Times New Roman"/>
          <w:b w:val="0"/>
          <w:i/>
          <w:lang w:eastAsia="da-DK"/>
        </w:rPr>
        <w:t xml:space="preserve">Nedsættelse af videnskabsetiske </w:t>
      </w:r>
      <w:r w:rsidRPr="00577043">
        <w:rPr>
          <w:rFonts w:cs="Times New Roman"/>
          <w:b w:val="0"/>
          <w:i/>
        </w:rPr>
        <w:t>lægemiddelkomiteer</w:t>
      </w:r>
    </w:p>
    <w:p w14:paraId="5AB75A38" w14:textId="77777777" w:rsidR="00A104D5" w:rsidRPr="00577043" w:rsidRDefault="00A104D5" w:rsidP="00A104D5">
      <w:pPr>
        <w:rPr>
          <w:rFonts w:eastAsia="Times New Roman" w:cs="Times New Roman"/>
          <w:b/>
          <w:color w:val="000000"/>
          <w:lang w:eastAsia="da-DK"/>
        </w:rPr>
      </w:pPr>
    </w:p>
    <w:p w14:paraId="470CFA26" w14:textId="77777777" w:rsidR="00A104D5" w:rsidRPr="00577043" w:rsidRDefault="00A104D5" w:rsidP="00A104D5">
      <w:pPr>
        <w:rPr>
          <w:rFonts w:eastAsia="Times New Roman" w:cs="Times New Roman"/>
          <w:color w:val="000000"/>
          <w:lang w:eastAsia="da-DK"/>
        </w:rPr>
      </w:pPr>
      <w:r w:rsidRPr="00577043">
        <w:rPr>
          <w:rFonts w:eastAsia="Times New Roman" w:cs="Times New Roman"/>
          <w:b/>
          <w:color w:val="000000"/>
          <w:lang w:eastAsia="da-DK"/>
        </w:rPr>
        <w:t xml:space="preserve">   § </w:t>
      </w:r>
      <w:r w:rsidR="004C3545">
        <w:rPr>
          <w:rFonts w:eastAsia="Times New Roman" w:cs="Times New Roman"/>
          <w:b/>
          <w:color w:val="000000"/>
          <w:lang w:eastAsia="da-DK"/>
        </w:rPr>
        <w:t>5</w:t>
      </w:r>
      <w:r w:rsidRPr="00577043">
        <w:rPr>
          <w:rFonts w:eastAsia="Times New Roman" w:cs="Times New Roman"/>
          <w:b/>
          <w:color w:val="000000"/>
          <w:lang w:eastAsia="da-DK"/>
        </w:rPr>
        <w:t xml:space="preserve">. </w:t>
      </w:r>
      <w:r w:rsidRPr="00577043">
        <w:rPr>
          <w:rFonts w:eastAsia="Times New Roman" w:cs="Times New Roman"/>
          <w:color w:val="000000"/>
          <w:lang w:eastAsia="da-DK"/>
        </w:rPr>
        <w:t xml:space="preserve"> Sundheds- og ældreministeren nedsætter en eller flere videnskabsetiske lægemiddelkomiteer. </w:t>
      </w:r>
    </w:p>
    <w:p w14:paraId="57E55B8B" w14:textId="77777777" w:rsidR="00A104D5" w:rsidRPr="00577043" w:rsidRDefault="00A104D5" w:rsidP="00A104D5">
      <w:pPr>
        <w:rPr>
          <w:rFonts w:eastAsia="Times New Roman" w:cs="Times New Roman"/>
          <w:color w:val="000000"/>
          <w:lang w:eastAsia="da-DK"/>
        </w:rPr>
      </w:pPr>
    </w:p>
    <w:p w14:paraId="14F5D83D" w14:textId="77777777" w:rsidR="00A104D5" w:rsidRPr="00577043" w:rsidRDefault="00A104D5" w:rsidP="00A104D5">
      <w:pPr>
        <w:rPr>
          <w:rFonts w:eastAsia="Times New Roman" w:cs="Times New Roman"/>
          <w:color w:val="000000"/>
          <w:lang w:eastAsia="da-DK"/>
        </w:rPr>
      </w:pPr>
      <w:r w:rsidRPr="00577043">
        <w:rPr>
          <w:rFonts w:eastAsia="Times New Roman" w:cs="Times New Roman"/>
          <w:b/>
          <w:color w:val="000000"/>
          <w:lang w:eastAsia="da-DK"/>
        </w:rPr>
        <w:t xml:space="preserve">   § </w:t>
      </w:r>
      <w:r w:rsidR="004C3545">
        <w:rPr>
          <w:rFonts w:eastAsia="Times New Roman" w:cs="Times New Roman"/>
          <w:b/>
          <w:color w:val="000000"/>
          <w:lang w:eastAsia="da-DK"/>
        </w:rPr>
        <w:t>6</w:t>
      </w:r>
      <w:r w:rsidRPr="00577043">
        <w:rPr>
          <w:rFonts w:eastAsia="Times New Roman" w:cs="Times New Roman"/>
          <w:b/>
          <w:color w:val="000000"/>
          <w:lang w:eastAsia="da-DK"/>
        </w:rPr>
        <w:t xml:space="preserve">. </w:t>
      </w:r>
      <w:r w:rsidRPr="00577043">
        <w:rPr>
          <w:rFonts w:eastAsia="Times New Roman" w:cs="Times New Roman"/>
          <w:color w:val="000000"/>
          <w:lang w:eastAsia="da-DK"/>
        </w:rPr>
        <w:t xml:space="preserve">En videnskabsetiske lægemiddelkomité består af 8 medlemmer, der udpeges på følgende måde: </w:t>
      </w:r>
    </w:p>
    <w:p w14:paraId="36754F7D" w14:textId="77777777" w:rsidR="00A104D5" w:rsidRPr="00577043" w:rsidRDefault="00A104D5" w:rsidP="00A104D5">
      <w:pPr>
        <w:rPr>
          <w:rFonts w:eastAsia="Times New Roman" w:cs="Times New Roman"/>
          <w:color w:val="000000"/>
          <w:lang w:eastAsia="da-DK"/>
        </w:rPr>
      </w:pPr>
      <w:r w:rsidRPr="00577043">
        <w:rPr>
          <w:rFonts w:eastAsia="Times New Roman" w:cs="Times New Roman"/>
          <w:color w:val="000000"/>
          <w:lang w:eastAsia="da-DK"/>
        </w:rPr>
        <w:t xml:space="preserve">1) Sundheds- og ældreministeren udpeger formanden for komiteen. </w:t>
      </w:r>
    </w:p>
    <w:p w14:paraId="4D773225" w14:textId="77777777" w:rsidR="00A104D5" w:rsidRPr="00577043" w:rsidRDefault="00A104D5" w:rsidP="00A104D5">
      <w:pPr>
        <w:rPr>
          <w:rFonts w:eastAsia="Times New Roman" w:cs="Times New Roman"/>
          <w:i/>
          <w:color w:val="000000"/>
          <w:lang w:eastAsia="da-DK"/>
        </w:rPr>
      </w:pPr>
      <w:r w:rsidRPr="00577043">
        <w:rPr>
          <w:rFonts w:eastAsia="Times New Roman" w:cs="Times New Roman"/>
          <w:color w:val="000000"/>
          <w:lang w:eastAsia="da-DK"/>
        </w:rPr>
        <w:t xml:space="preserve">2) 5 medlemmer udpeges af sundheds- og ældreministeren efter indstillinger fra de enkelte regionsråd. </w:t>
      </w:r>
    </w:p>
    <w:p w14:paraId="70CB9712" w14:textId="77777777" w:rsidR="00A104D5" w:rsidRPr="00577043" w:rsidRDefault="00A104D5" w:rsidP="00A104D5">
      <w:pPr>
        <w:rPr>
          <w:rFonts w:eastAsia="Times New Roman" w:cs="Times New Roman"/>
          <w:color w:val="000000"/>
          <w:lang w:eastAsia="da-DK"/>
        </w:rPr>
      </w:pPr>
      <w:r w:rsidRPr="00577043">
        <w:rPr>
          <w:rFonts w:eastAsia="Times New Roman" w:cs="Times New Roman"/>
          <w:color w:val="000000"/>
          <w:lang w:eastAsia="da-DK"/>
        </w:rPr>
        <w:t xml:space="preserve">3) 2 medlemmer udpeges af sundheds- og ældreministeren efter indstillinger fra organisationer, der repræsenterer patienter.  </w:t>
      </w:r>
    </w:p>
    <w:p w14:paraId="4D6F8161" w14:textId="77777777" w:rsidR="00A104D5" w:rsidRPr="00577043" w:rsidRDefault="00A104D5" w:rsidP="00A104D5">
      <w:pPr>
        <w:rPr>
          <w:rFonts w:eastAsia="Times New Roman" w:cs="Times New Roman"/>
          <w:color w:val="000000"/>
          <w:lang w:eastAsia="da-DK"/>
        </w:rPr>
      </w:pPr>
      <w:r w:rsidRPr="00577043">
        <w:rPr>
          <w:rFonts w:eastAsia="Times New Roman" w:cs="Times New Roman"/>
          <w:i/>
          <w:color w:val="000000"/>
          <w:lang w:eastAsia="da-DK"/>
        </w:rPr>
        <w:t xml:space="preserve">   Stk. 2.</w:t>
      </w:r>
      <w:r w:rsidRPr="00577043">
        <w:rPr>
          <w:rFonts w:eastAsia="Times New Roman" w:cs="Times New Roman"/>
          <w:color w:val="000000"/>
          <w:lang w:eastAsia="da-DK"/>
        </w:rPr>
        <w:t xml:space="preserve"> Formanden skal være aktiv inden for sundhedsvidenskabelig forskning. </w:t>
      </w:r>
    </w:p>
    <w:p w14:paraId="49C3392F" w14:textId="77777777" w:rsidR="00A104D5" w:rsidRPr="00577043" w:rsidRDefault="00A104D5" w:rsidP="00A104D5">
      <w:pPr>
        <w:rPr>
          <w:rFonts w:eastAsia="Times New Roman" w:cs="Times New Roman"/>
          <w:color w:val="000000"/>
          <w:lang w:eastAsia="da-DK"/>
        </w:rPr>
      </w:pPr>
      <w:r w:rsidRPr="00577043">
        <w:rPr>
          <w:rFonts w:eastAsia="Times New Roman" w:cs="Times New Roman"/>
          <w:i/>
          <w:color w:val="000000"/>
          <w:lang w:eastAsia="da-DK"/>
        </w:rPr>
        <w:t xml:space="preserve">   Stk.3. </w:t>
      </w:r>
      <w:r w:rsidRPr="00577043">
        <w:rPr>
          <w:rFonts w:eastAsia="Times New Roman" w:cs="Times New Roman"/>
          <w:color w:val="000000"/>
          <w:lang w:eastAsia="da-DK"/>
        </w:rPr>
        <w:t xml:space="preserve">Lige mange mænd og kvinder skal om muligt indstilles efter stk. 1, nr. 2 og nr. 3. </w:t>
      </w:r>
    </w:p>
    <w:p w14:paraId="61759CD5" w14:textId="77777777" w:rsidR="00A104D5" w:rsidRPr="00577043" w:rsidRDefault="00A104D5" w:rsidP="00A104D5">
      <w:pPr>
        <w:rPr>
          <w:rFonts w:eastAsia="Times New Roman" w:cs="Times New Roman"/>
          <w:color w:val="000000"/>
          <w:lang w:eastAsia="da-DK"/>
        </w:rPr>
      </w:pPr>
      <w:r w:rsidRPr="00577043">
        <w:rPr>
          <w:rFonts w:eastAsia="Times New Roman" w:cs="Times New Roman"/>
          <w:i/>
          <w:color w:val="000000"/>
          <w:lang w:eastAsia="da-DK"/>
        </w:rPr>
        <w:t xml:space="preserve">   Stk.4. </w:t>
      </w:r>
      <w:r w:rsidRPr="00577043">
        <w:rPr>
          <w:rFonts w:eastAsia="Times New Roman" w:cs="Times New Roman"/>
          <w:color w:val="000000"/>
          <w:lang w:eastAsia="da-DK"/>
        </w:rPr>
        <w:t>Den enkelte region skal ved indstillingerne efter stk. 1, nr. 2, udpege henholdsvis en lægperson og en person, som er aktiv inden for sundhedsvidenskabelig forskning. Indstillingerne til sundheds- og ældreministeren af personer, der er aktive inden for sundhedsvidenskabelig forskning, skal ske efter indstillinger til de enkelte regionsråd fra relevante forskningsfaglige fora, jf. stk.</w:t>
      </w:r>
      <w:r w:rsidR="004B1BEA">
        <w:rPr>
          <w:rFonts w:eastAsia="Times New Roman" w:cs="Times New Roman"/>
          <w:color w:val="000000"/>
          <w:lang w:eastAsia="da-DK"/>
        </w:rPr>
        <w:t xml:space="preserve"> 11</w:t>
      </w:r>
      <w:r w:rsidRPr="00577043">
        <w:rPr>
          <w:rFonts w:eastAsia="Times New Roman" w:cs="Times New Roman"/>
          <w:color w:val="000000"/>
          <w:lang w:eastAsia="da-DK"/>
        </w:rPr>
        <w:t>.</w:t>
      </w:r>
    </w:p>
    <w:p w14:paraId="780E92A2" w14:textId="77777777" w:rsidR="00A104D5" w:rsidRPr="00577043" w:rsidRDefault="00A104D5" w:rsidP="00A104D5">
      <w:pPr>
        <w:rPr>
          <w:rFonts w:eastAsia="Times New Roman" w:cs="Times New Roman"/>
          <w:color w:val="000000"/>
          <w:lang w:eastAsia="da-DK"/>
        </w:rPr>
      </w:pPr>
      <w:r w:rsidRPr="00577043">
        <w:rPr>
          <w:rFonts w:eastAsia="Times New Roman" w:cs="Times New Roman"/>
          <w:color w:val="000000"/>
          <w:lang w:eastAsia="da-DK"/>
        </w:rPr>
        <w:t xml:space="preserve">   </w:t>
      </w:r>
      <w:r w:rsidRPr="00577043">
        <w:rPr>
          <w:rFonts w:eastAsia="Times New Roman" w:cs="Times New Roman"/>
          <w:i/>
          <w:color w:val="000000"/>
          <w:lang w:eastAsia="da-DK"/>
        </w:rPr>
        <w:t>Stk. 5.</w:t>
      </w:r>
      <w:r w:rsidRPr="00577043">
        <w:rPr>
          <w:rFonts w:eastAsia="Times New Roman" w:cs="Times New Roman"/>
          <w:color w:val="000000"/>
          <w:lang w:eastAsia="da-DK"/>
        </w:rPr>
        <w:t xml:space="preserve"> Ved udpegningen skal det sikres, at der blandt de udpegede er lige mange mænd og kvinder. Ved udpegningen skal det endvidere sikres, at komiteen udover formanden har 4 lægpersoner og 3 medlemmer, der er aktive inden for den sundhedsvidenskabelige forskning. </w:t>
      </w:r>
    </w:p>
    <w:p w14:paraId="621C4956" w14:textId="77777777" w:rsidR="00A104D5" w:rsidRDefault="00A104D5" w:rsidP="00A104D5">
      <w:pPr>
        <w:rPr>
          <w:rFonts w:eastAsia="Times New Roman" w:cs="Times New Roman"/>
          <w:color w:val="000000"/>
          <w:lang w:eastAsia="da-DK"/>
        </w:rPr>
      </w:pPr>
      <w:r w:rsidRPr="00577043">
        <w:rPr>
          <w:rFonts w:eastAsia="Times New Roman" w:cs="Times New Roman"/>
          <w:i/>
          <w:color w:val="000000"/>
          <w:lang w:eastAsia="da-DK"/>
        </w:rPr>
        <w:t xml:space="preserve">   Stk. 6. </w:t>
      </w:r>
      <w:r w:rsidRPr="00577043">
        <w:rPr>
          <w:rFonts w:eastAsia="Times New Roman" w:cs="Times New Roman"/>
          <w:color w:val="000000"/>
          <w:lang w:eastAsia="da-DK"/>
        </w:rPr>
        <w:t>Komiteen vælger selv sin næstformand.</w:t>
      </w:r>
    </w:p>
    <w:p w14:paraId="72364513" w14:textId="77777777" w:rsidR="006D1E00" w:rsidRDefault="00A104D5" w:rsidP="00A104D5">
      <w:pPr>
        <w:rPr>
          <w:rFonts w:eastAsia="Times New Roman" w:cs="Times New Roman"/>
          <w:i/>
          <w:color w:val="000000"/>
          <w:lang w:eastAsia="da-DK"/>
        </w:rPr>
      </w:pPr>
      <w:r>
        <w:rPr>
          <w:rFonts w:eastAsia="Times New Roman" w:cs="Times New Roman"/>
          <w:color w:val="000000"/>
          <w:lang w:eastAsia="da-DK"/>
        </w:rPr>
        <w:t xml:space="preserve">   </w:t>
      </w:r>
      <w:r>
        <w:rPr>
          <w:rFonts w:eastAsia="Times New Roman" w:cs="Times New Roman"/>
          <w:i/>
          <w:color w:val="000000"/>
          <w:lang w:eastAsia="da-DK"/>
        </w:rPr>
        <w:t xml:space="preserve">Stk. </w:t>
      </w:r>
      <w:r w:rsidR="006D1E00">
        <w:rPr>
          <w:rFonts w:eastAsia="Times New Roman" w:cs="Times New Roman"/>
          <w:i/>
          <w:color w:val="000000"/>
          <w:lang w:eastAsia="da-DK"/>
        </w:rPr>
        <w:t>7</w:t>
      </w:r>
      <w:r>
        <w:rPr>
          <w:rFonts w:eastAsia="Times New Roman" w:cs="Times New Roman"/>
          <w:i/>
          <w:color w:val="000000"/>
          <w:lang w:eastAsia="da-DK"/>
        </w:rPr>
        <w:t>.</w:t>
      </w:r>
      <w:r>
        <w:rPr>
          <w:rFonts w:eastAsia="Times New Roman" w:cs="Times New Roman"/>
          <w:color w:val="000000"/>
          <w:lang w:eastAsia="da-DK"/>
        </w:rPr>
        <w:t xml:space="preserve"> Komiteerne kan nedsætte underudvalg, som træffer afgørelser og varetager komiteernes opgaver i øvrigt.</w:t>
      </w:r>
      <w:r w:rsidRPr="00577043">
        <w:rPr>
          <w:rFonts w:eastAsia="Times New Roman" w:cs="Times New Roman"/>
          <w:i/>
          <w:color w:val="000000"/>
          <w:lang w:eastAsia="da-DK"/>
        </w:rPr>
        <w:t xml:space="preserve">   </w:t>
      </w:r>
    </w:p>
    <w:p w14:paraId="2704EC21" w14:textId="77777777" w:rsidR="00A104D5" w:rsidRPr="00577043" w:rsidRDefault="006D1E00" w:rsidP="00A104D5">
      <w:pPr>
        <w:rPr>
          <w:rFonts w:eastAsia="Times New Roman" w:cs="Times New Roman"/>
          <w:color w:val="000000"/>
          <w:lang w:eastAsia="da-DK"/>
        </w:rPr>
      </w:pPr>
      <w:r>
        <w:rPr>
          <w:rFonts w:eastAsia="Times New Roman" w:cs="Times New Roman"/>
          <w:i/>
          <w:color w:val="000000"/>
          <w:lang w:eastAsia="da-DK"/>
        </w:rPr>
        <w:t xml:space="preserve">   </w:t>
      </w:r>
      <w:r w:rsidR="00A104D5" w:rsidRPr="00577043">
        <w:rPr>
          <w:rFonts w:eastAsia="Times New Roman" w:cs="Times New Roman"/>
          <w:i/>
          <w:color w:val="000000"/>
          <w:lang w:eastAsia="da-DK"/>
        </w:rPr>
        <w:t>Stk.</w:t>
      </w:r>
      <w:r>
        <w:rPr>
          <w:rFonts w:eastAsia="Times New Roman" w:cs="Times New Roman"/>
          <w:i/>
          <w:color w:val="000000"/>
          <w:lang w:eastAsia="da-DK"/>
        </w:rPr>
        <w:t>8</w:t>
      </w:r>
      <w:r w:rsidR="00A104D5" w:rsidRPr="00577043">
        <w:rPr>
          <w:rFonts w:eastAsia="Times New Roman" w:cs="Times New Roman"/>
          <w:i/>
          <w:color w:val="000000"/>
          <w:lang w:eastAsia="da-DK"/>
        </w:rPr>
        <w:t xml:space="preserve">. </w:t>
      </w:r>
      <w:r w:rsidR="00A104D5" w:rsidRPr="00577043">
        <w:rPr>
          <w:rFonts w:eastAsia="Times New Roman" w:cs="Times New Roman"/>
          <w:color w:val="000000"/>
          <w:lang w:eastAsia="da-DK"/>
        </w:rPr>
        <w:t>De videnskabsetiske lægemiddelkomiteer udarbejder et fælles forslag til forretningsorden, der godkendes af sundheds- og ældreministeren.</w:t>
      </w:r>
    </w:p>
    <w:p w14:paraId="02E37C24" w14:textId="77777777" w:rsidR="00A104D5" w:rsidRPr="00577043" w:rsidRDefault="00A104D5" w:rsidP="00A104D5">
      <w:pPr>
        <w:rPr>
          <w:rFonts w:eastAsia="Times New Roman" w:cs="Times New Roman"/>
          <w:color w:val="000000"/>
          <w:lang w:eastAsia="da-DK"/>
        </w:rPr>
      </w:pPr>
      <w:r w:rsidRPr="00577043">
        <w:rPr>
          <w:rFonts w:eastAsia="Times New Roman" w:cs="Times New Roman"/>
          <w:i/>
          <w:color w:val="000000"/>
          <w:lang w:eastAsia="da-DK"/>
        </w:rPr>
        <w:t xml:space="preserve">   Stk. </w:t>
      </w:r>
      <w:r w:rsidR="006D1E00">
        <w:rPr>
          <w:rFonts w:eastAsia="Times New Roman" w:cs="Times New Roman"/>
          <w:i/>
          <w:color w:val="000000"/>
          <w:lang w:eastAsia="da-DK"/>
        </w:rPr>
        <w:t>9</w:t>
      </w:r>
      <w:r w:rsidRPr="00577043">
        <w:rPr>
          <w:rFonts w:eastAsia="Times New Roman" w:cs="Times New Roman"/>
          <w:i/>
          <w:color w:val="000000"/>
          <w:lang w:eastAsia="da-DK"/>
        </w:rPr>
        <w:t>.</w:t>
      </w:r>
      <w:r w:rsidRPr="00577043">
        <w:rPr>
          <w:rFonts w:eastAsia="Times New Roman" w:cs="Times New Roman"/>
          <w:color w:val="000000"/>
          <w:lang w:eastAsia="da-DK"/>
        </w:rPr>
        <w:t xml:space="preserve"> Komiteernes medlemmer udpeges for 4 år ad gangen svarende til den for regionsrådene gældende valgperiode. Genudpegning af medlemmer kan ske to gange. Der kan udpeges suppleanter for medlemmerne.</w:t>
      </w:r>
    </w:p>
    <w:p w14:paraId="6C1E35DC" w14:textId="77777777" w:rsidR="00A104D5" w:rsidRPr="00577043" w:rsidRDefault="00A104D5" w:rsidP="00A104D5">
      <w:pPr>
        <w:rPr>
          <w:rFonts w:eastAsia="Times New Roman" w:cs="Times New Roman"/>
          <w:color w:val="000000"/>
          <w:lang w:eastAsia="da-DK"/>
        </w:rPr>
      </w:pPr>
      <w:r w:rsidRPr="00577043">
        <w:rPr>
          <w:rFonts w:eastAsia="Times New Roman" w:cs="Times New Roman"/>
          <w:i/>
          <w:color w:val="000000"/>
          <w:lang w:eastAsia="da-DK"/>
        </w:rPr>
        <w:t xml:space="preserve">   Stk. </w:t>
      </w:r>
      <w:r w:rsidR="006D1E00">
        <w:rPr>
          <w:rFonts w:eastAsia="Times New Roman" w:cs="Times New Roman"/>
          <w:i/>
          <w:color w:val="000000"/>
          <w:lang w:eastAsia="da-DK"/>
        </w:rPr>
        <w:t>10</w:t>
      </w:r>
      <w:r w:rsidRPr="00577043">
        <w:rPr>
          <w:rFonts w:eastAsia="Times New Roman" w:cs="Times New Roman"/>
          <w:i/>
          <w:color w:val="000000"/>
          <w:lang w:eastAsia="da-DK"/>
        </w:rPr>
        <w:t xml:space="preserve">. </w:t>
      </w:r>
      <w:r w:rsidRPr="00577043">
        <w:rPr>
          <w:rFonts w:eastAsia="Times New Roman" w:cs="Times New Roman"/>
          <w:color w:val="000000"/>
          <w:lang w:eastAsia="da-DK"/>
        </w:rPr>
        <w:t>Den afgående komité fortsætter sit virke, indtil nye medlemmer er udpeget, og den nye komité er konstitueret.</w:t>
      </w:r>
    </w:p>
    <w:p w14:paraId="5E052F62" w14:textId="77777777" w:rsidR="00A104D5" w:rsidRPr="00577043" w:rsidRDefault="00A104D5" w:rsidP="00A104D5">
      <w:pPr>
        <w:rPr>
          <w:rFonts w:eastAsia="Times New Roman" w:cs="Times New Roman"/>
          <w:color w:val="000000"/>
          <w:lang w:eastAsia="da-DK"/>
        </w:rPr>
      </w:pPr>
      <w:r w:rsidRPr="00577043">
        <w:rPr>
          <w:rFonts w:eastAsia="Times New Roman" w:cs="Times New Roman"/>
          <w:i/>
          <w:color w:val="000000"/>
          <w:lang w:eastAsia="da-DK"/>
        </w:rPr>
        <w:t xml:space="preserve">   Stk. </w:t>
      </w:r>
      <w:r w:rsidR="006D1E00">
        <w:rPr>
          <w:rFonts w:eastAsia="Times New Roman" w:cs="Times New Roman"/>
          <w:i/>
          <w:color w:val="000000"/>
          <w:lang w:eastAsia="da-DK"/>
        </w:rPr>
        <w:t>11</w:t>
      </w:r>
      <w:r w:rsidRPr="00577043">
        <w:rPr>
          <w:rFonts w:eastAsia="Times New Roman" w:cs="Times New Roman"/>
          <w:i/>
          <w:color w:val="000000"/>
          <w:lang w:eastAsia="da-DK"/>
        </w:rPr>
        <w:t>.</w:t>
      </w:r>
      <w:r w:rsidRPr="00577043">
        <w:rPr>
          <w:rFonts w:eastAsia="Times New Roman" w:cs="Times New Roman"/>
          <w:color w:val="000000"/>
          <w:lang w:eastAsia="da-DK"/>
        </w:rPr>
        <w:t xml:space="preserve"> Sundheds- og ældreministeren kan fastsætte nærmere regler om, hvilke fora der er relevante forskningsfaglige fora, jf. stk.</w:t>
      </w:r>
      <w:r w:rsidR="00112982">
        <w:rPr>
          <w:rFonts w:eastAsia="Times New Roman" w:cs="Times New Roman"/>
          <w:color w:val="000000"/>
          <w:lang w:eastAsia="da-DK"/>
        </w:rPr>
        <w:t>8</w:t>
      </w:r>
      <w:r w:rsidRPr="00577043">
        <w:rPr>
          <w:rFonts w:eastAsia="Times New Roman" w:cs="Times New Roman"/>
          <w:color w:val="000000"/>
          <w:lang w:eastAsia="da-DK"/>
        </w:rPr>
        <w:t>.</w:t>
      </w:r>
    </w:p>
    <w:p w14:paraId="07F7BA1E" w14:textId="77777777" w:rsidR="00A104D5" w:rsidRPr="00577043" w:rsidRDefault="00A104D5" w:rsidP="00A104D5">
      <w:pPr>
        <w:rPr>
          <w:rFonts w:eastAsia="Times New Roman" w:cs="Times New Roman"/>
          <w:color w:val="000000"/>
          <w:lang w:eastAsia="da-DK"/>
        </w:rPr>
      </w:pPr>
      <w:r w:rsidRPr="00577043">
        <w:rPr>
          <w:rFonts w:eastAsia="Times New Roman" w:cs="Times New Roman"/>
          <w:color w:val="000000"/>
          <w:lang w:eastAsia="da-DK"/>
        </w:rPr>
        <w:t xml:space="preserve">   </w:t>
      </w:r>
      <w:r w:rsidRPr="00577043">
        <w:rPr>
          <w:rFonts w:eastAsia="Times New Roman" w:cs="Times New Roman"/>
          <w:i/>
          <w:color w:val="000000"/>
          <w:lang w:eastAsia="da-DK"/>
        </w:rPr>
        <w:t xml:space="preserve">Stk. </w:t>
      </w:r>
      <w:r w:rsidR="006D1E00">
        <w:rPr>
          <w:rFonts w:eastAsia="Times New Roman" w:cs="Times New Roman"/>
          <w:i/>
          <w:color w:val="000000"/>
          <w:lang w:eastAsia="da-DK"/>
        </w:rPr>
        <w:t>12</w:t>
      </w:r>
      <w:r w:rsidRPr="00577043">
        <w:rPr>
          <w:rFonts w:eastAsia="Times New Roman" w:cs="Times New Roman"/>
          <w:i/>
          <w:color w:val="000000"/>
          <w:lang w:eastAsia="da-DK"/>
        </w:rPr>
        <w:t>.</w:t>
      </w:r>
      <w:r w:rsidRPr="00577043">
        <w:rPr>
          <w:rFonts w:eastAsia="Times New Roman" w:cs="Times New Roman"/>
          <w:color w:val="000000"/>
          <w:lang w:eastAsia="da-DK"/>
        </w:rPr>
        <w:t xml:space="preserve"> </w:t>
      </w:r>
      <w:r w:rsidRPr="00577043">
        <w:t xml:space="preserve">Sundheds- og ældreministeren kan fastsætte nærmere regler om krav til dokumentation for, at medlemmerne af den videnskabsetiske </w:t>
      </w:r>
      <w:r w:rsidR="009A5457">
        <w:t>l</w:t>
      </w:r>
      <w:r w:rsidRPr="00577043">
        <w:t xml:space="preserve">ægemiddelkomité ikke har interessekonflikter, at de er uafhængige af sponsor, stedet for det kliniske forsøg, de involverede investigatorer og af de personer, som finansierer det kliniske forsøg, samt at de ikke er under anden utilbørlig påvirkning, jf. artikel 9 i </w:t>
      </w:r>
      <w:r>
        <w:t>forordningen</w:t>
      </w:r>
      <w:r w:rsidRPr="00577043">
        <w:t>.</w:t>
      </w:r>
    </w:p>
    <w:p w14:paraId="45ABB982" w14:textId="77777777" w:rsidR="00A104D5" w:rsidRDefault="00A104D5" w:rsidP="00A104D5">
      <w:pPr>
        <w:rPr>
          <w:rFonts w:eastAsia="Times New Roman" w:cs="Times New Roman"/>
          <w:color w:val="000000"/>
          <w:lang w:eastAsia="da-DK"/>
        </w:rPr>
      </w:pPr>
    </w:p>
    <w:p w14:paraId="67F89B4C" w14:textId="77777777" w:rsidR="00434E2A" w:rsidRDefault="00434E2A" w:rsidP="00A104D5">
      <w:pPr>
        <w:rPr>
          <w:rFonts w:eastAsia="Times New Roman" w:cs="Times New Roman"/>
          <w:color w:val="000000"/>
          <w:lang w:eastAsia="da-DK"/>
        </w:rPr>
      </w:pPr>
    </w:p>
    <w:p w14:paraId="476AA21A" w14:textId="77777777" w:rsidR="00434E2A" w:rsidRPr="00577043" w:rsidRDefault="00434E2A" w:rsidP="00A104D5">
      <w:pPr>
        <w:rPr>
          <w:rFonts w:eastAsia="Times New Roman" w:cs="Times New Roman"/>
          <w:color w:val="000000"/>
          <w:lang w:eastAsia="da-DK"/>
        </w:rPr>
      </w:pPr>
    </w:p>
    <w:p w14:paraId="60D9A413" w14:textId="77777777" w:rsidR="00A104D5" w:rsidRPr="00577043" w:rsidRDefault="00A104D5" w:rsidP="00A104D5">
      <w:pPr>
        <w:pStyle w:val="Overskrift2"/>
        <w:rPr>
          <w:rFonts w:eastAsia="Times New Roman" w:cs="Times New Roman"/>
          <w:b w:val="0"/>
          <w:i/>
          <w:lang w:eastAsia="da-DK"/>
        </w:rPr>
      </w:pPr>
      <w:r w:rsidRPr="00577043">
        <w:rPr>
          <w:rFonts w:eastAsia="Times New Roman" w:cs="Times New Roman"/>
          <w:b w:val="0"/>
          <w:i/>
          <w:lang w:eastAsia="da-DK"/>
        </w:rPr>
        <w:lastRenderedPageBreak/>
        <w:t>Beslutningsprocedurer i de videnskabsetiske lægemiddelkomiteer</w:t>
      </w:r>
    </w:p>
    <w:p w14:paraId="18784492" w14:textId="77777777" w:rsidR="00A104D5" w:rsidRPr="00577043" w:rsidRDefault="00A104D5" w:rsidP="00A104D5">
      <w:pPr>
        <w:rPr>
          <w:rFonts w:eastAsia="Times New Roman" w:cs="Times New Roman"/>
          <w:color w:val="000000"/>
          <w:lang w:eastAsia="da-DK"/>
        </w:rPr>
      </w:pPr>
    </w:p>
    <w:p w14:paraId="58EB5C72" w14:textId="77777777" w:rsidR="00A104D5" w:rsidRPr="00577043" w:rsidRDefault="00A104D5" w:rsidP="00A104D5">
      <w:pPr>
        <w:rPr>
          <w:rFonts w:eastAsia="Times New Roman" w:cs="Times New Roman"/>
          <w:color w:val="000000"/>
          <w:lang w:eastAsia="da-DK"/>
        </w:rPr>
      </w:pPr>
      <w:r w:rsidRPr="00577043">
        <w:rPr>
          <w:rFonts w:eastAsia="Times New Roman" w:cs="Times New Roman"/>
          <w:color w:val="000000"/>
          <w:lang w:eastAsia="da-DK"/>
        </w:rPr>
        <w:t xml:space="preserve">      </w:t>
      </w:r>
      <w:r w:rsidRPr="00577043">
        <w:rPr>
          <w:rFonts w:eastAsia="Times New Roman" w:cs="Times New Roman"/>
          <w:b/>
          <w:color w:val="000000"/>
          <w:lang w:eastAsia="da-DK"/>
        </w:rPr>
        <w:t xml:space="preserve">§ </w:t>
      </w:r>
      <w:r w:rsidR="004C3545">
        <w:rPr>
          <w:rFonts w:eastAsia="Times New Roman" w:cs="Times New Roman"/>
          <w:b/>
          <w:color w:val="000000"/>
          <w:lang w:eastAsia="da-DK"/>
        </w:rPr>
        <w:t>7</w:t>
      </w:r>
      <w:r w:rsidRPr="00577043">
        <w:rPr>
          <w:rFonts w:eastAsia="Times New Roman" w:cs="Times New Roman"/>
          <w:b/>
          <w:color w:val="000000"/>
          <w:lang w:eastAsia="da-DK"/>
        </w:rPr>
        <w:t>.</w:t>
      </w:r>
      <w:r w:rsidRPr="00577043">
        <w:rPr>
          <w:rFonts w:eastAsia="Times New Roman" w:cs="Times New Roman"/>
          <w:color w:val="000000"/>
          <w:lang w:eastAsia="da-DK"/>
        </w:rPr>
        <w:t xml:space="preserve"> Er det i en videnskabsetisk lægemiddelkomité </w:t>
      </w:r>
      <w:r w:rsidR="007527AB">
        <w:rPr>
          <w:rFonts w:eastAsia="Times New Roman" w:cs="Times New Roman"/>
          <w:color w:val="000000"/>
          <w:lang w:eastAsia="da-DK"/>
        </w:rPr>
        <w:t xml:space="preserve">eller et underudvalg nedsat i medfør af § 6, stk. 7, </w:t>
      </w:r>
      <w:r w:rsidRPr="00577043">
        <w:rPr>
          <w:rFonts w:eastAsia="Times New Roman" w:cs="Times New Roman"/>
          <w:color w:val="000000"/>
          <w:lang w:eastAsia="da-DK"/>
        </w:rPr>
        <w:t>ikke muligt at opnå enighed om bedømmelsen af en ansøgning eller andre forhold efter forordningen eller denne lov, træffer komiteen afgørelse ved afstemning, jf. dog stk. 2 og 3. Komiteens afgørelse træffes på baggrund af indstillingerne fra et flertal af medlemmerne i den kompetente komité. Ved stemmelighed er formandens stemme afgørende.</w:t>
      </w:r>
    </w:p>
    <w:p w14:paraId="58465F39" w14:textId="77777777" w:rsidR="00A104D5" w:rsidRPr="00577043" w:rsidRDefault="00A104D5" w:rsidP="00A104D5">
      <w:pPr>
        <w:rPr>
          <w:rFonts w:eastAsia="Times New Roman" w:cs="Times New Roman"/>
          <w:color w:val="000000"/>
          <w:lang w:eastAsia="da-DK"/>
        </w:rPr>
      </w:pPr>
      <w:r w:rsidRPr="00577043">
        <w:rPr>
          <w:rFonts w:eastAsia="Times New Roman" w:cs="Times New Roman"/>
          <w:i/>
          <w:color w:val="000000"/>
          <w:lang w:eastAsia="da-DK"/>
        </w:rPr>
        <w:t xml:space="preserve">   Stk. 2.</w:t>
      </w:r>
      <w:r w:rsidRPr="00577043">
        <w:rPr>
          <w:rFonts w:eastAsia="Times New Roman" w:cs="Times New Roman"/>
          <w:color w:val="000000"/>
          <w:lang w:eastAsia="da-DK"/>
        </w:rPr>
        <w:t xml:space="preserve"> Formanden skal være en del af flertallet.</w:t>
      </w:r>
    </w:p>
    <w:p w14:paraId="1EBFF76F" w14:textId="77777777" w:rsidR="00A104D5" w:rsidRPr="00577043" w:rsidRDefault="00A104D5" w:rsidP="00A104D5">
      <w:pPr>
        <w:rPr>
          <w:rFonts w:eastAsia="Times New Roman" w:cs="Times New Roman"/>
          <w:color w:val="000000"/>
          <w:lang w:eastAsia="da-DK"/>
        </w:rPr>
      </w:pPr>
      <w:r w:rsidRPr="00577043">
        <w:rPr>
          <w:rFonts w:eastAsia="Times New Roman" w:cs="Times New Roman"/>
          <w:i/>
          <w:color w:val="000000"/>
          <w:lang w:eastAsia="da-DK"/>
        </w:rPr>
        <w:t xml:space="preserve">   Stk. 3</w:t>
      </w:r>
      <w:r w:rsidRPr="00577043">
        <w:rPr>
          <w:rFonts w:eastAsia="Times New Roman" w:cs="Times New Roman"/>
          <w:color w:val="000000"/>
          <w:lang w:eastAsia="da-DK"/>
        </w:rPr>
        <w:t xml:space="preserve">. Formanden for en komité kan på den pågældende komités vegne træffe afgørelse i sager, der ikke giver anledning til tvivl, eller når det vurderes nødvendigt af hensyn til forsøgspersonernes sikkerhed, eller når dette er nødvendigt af hensyn til overholdelse af tidsfristerne fastsat i kapitel II og III i </w:t>
      </w:r>
      <w:r>
        <w:rPr>
          <w:rFonts w:eastAsia="Times New Roman" w:cs="Times New Roman"/>
          <w:color w:val="000000"/>
          <w:lang w:eastAsia="da-DK"/>
        </w:rPr>
        <w:t>forordningen</w:t>
      </w:r>
      <w:r w:rsidRPr="00577043">
        <w:rPr>
          <w:rFonts w:eastAsia="Times New Roman" w:cs="Times New Roman"/>
          <w:color w:val="000000"/>
          <w:lang w:eastAsia="da-DK"/>
        </w:rPr>
        <w:t>.</w:t>
      </w:r>
    </w:p>
    <w:p w14:paraId="45841C1D" w14:textId="77777777" w:rsidR="00A104D5" w:rsidRDefault="00A104D5" w:rsidP="00A104D5">
      <w:pPr>
        <w:rPr>
          <w:rFonts w:eastAsia="Times New Roman" w:cs="Times New Roman"/>
          <w:color w:val="000000"/>
          <w:lang w:eastAsia="da-DK"/>
        </w:rPr>
      </w:pPr>
      <w:r w:rsidRPr="00577043">
        <w:rPr>
          <w:rFonts w:eastAsia="Times New Roman" w:cs="Times New Roman"/>
          <w:color w:val="000000"/>
          <w:lang w:eastAsia="da-DK"/>
        </w:rPr>
        <w:t xml:space="preserve">   </w:t>
      </w:r>
      <w:r w:rsidRPr="00577043">
        <w:rPr>
          <w:rFonts w:eastAsia="Times New Roman" w:cs="Times New Roman"/>
          <w:i/>
          <w:color w:val="000000"/>
          <w:lang w:eastAsia="da-DK"/>
        </w:rPr>
        <w:t xml:space="preserve">Stk. </w:t>
      </w:r>
      <w:r>
        <w:rPr>
          <w:rFonts w:eastAsia="Times New Roman" w:cs="Times New Roman"/>
          <w:i/>
          <w:color w:val="000000"/>
          <w:lang w:eastAsia="da-DK"/>
        </w:rPr>
        <w:t>4</w:t>
      </w:r>
      <w:r w:rsidRPr="00577043">
        <w:rPr>
          <w:rFonts w:eastAsia="Times New Roman" w:cs="Times New Roman"/>
          <w:i/>
          <w:color w:val="000000"/>
          <w:lang w:eastAsia="da-DK"/>
        </w:rPr>
        <w:t>.</w:t>
      </w:r>
      <w:r w:rsidRPr="00577043">
        <w:rPr>
          <w:rFonts w:eastAsia="Times New Roman" w:cs="Times New Roman"/>
          <w:color w:val="000000"/>
          <w:lang w:eastAsia="da-DK"/>
        </w:rPr>
        <w:t xml:space="preserve"> Er afgørelsen truffet af formanden, orienteres komiteens øvrige medlemmer om afgørelsen efterfølgende. </w:t>
      </w:r>
    </w:p>
    <w:p w14:paraId="7837669D" w14:textId="77777777" w:rsidR="00A104D5" w:rsidRPr="001876FF" w:rsidRDefault="00A104D5" w:rsidP="00A104D5">
      <w:pPr>
        <w:rPr>
          <w:rFonts w:eastAsia="Times New Roman" w:cs="Times New Roman"/>
          <w:color w:val="000000"/>
          <w:lang w:eastAsia="da-DK"/>
        </w:rPr>
      </w:pPr>
      <w:r>
        <w:rPr>
          <w:rFonts w:eastAsia="Times New Roman" w:cs="Times New Roman"/>
          <w:color w:val="000000"/>
          <w:lang w:eastAsia="da-DK"/>
        </w:rPr>
        <w:t xml:space="preserve">   </w:t>
      </w:r>
    </w:p>
    <w:p w14:paraId="00688C53" w14:textId="77777777" w:rsidR="00A104D5" w:rsidRPr="00577043" w:rsidRDefault="00A104D5" w:rsidP="00A104D5">
      <w:pPr>
        <w:jc w:val="center"/>
        <w:rPr>
          <w:rFonts w:eastAsia="Times New Roman" w:cs="Times New Roman"/>
          <w:i/>
          <w:color w:val="000000"/>
          <w:lang w:eastAsia="da-DK"/>
        </w:rPr>
      </w:pPr>
    </w:p>
    <w:p w14:paraId="45DC0639" w14:textId="77777777" w:rsidR="00A104D5" w:rsidRPr="00577043" w:rsidRDefault="00A104D5" w:rsidP="00A104D5">
      <w:pPr>
        <w:pStyle w:val="Overskrift2"/>
      </w:pPr>
      <w:r w:rsidRPr="00577043">
        <w:t>Øvrige opgaver for de videnskabsetiske lægemiddelkomiteer</w:t>
      </w:r>
    </w:p>
    <w:p w14:paraId="24E789C8" w14:textId="77777777" w:rsidR="00A104D5" w:rsidRPr="00577043" w:rsidRDefault="00A104D5" w:rsidP="00A104D5">
      <w:pPr>
        <w:jc w:val="center"/>
        <w:rPr>
          <w:rFonts w:eastAsia="Times New Roman" w:cs="Times New Roman"/>
          <w:color w:val="000000"/>
          <w:lang w:eastAsia="da-DK"/>
        </w:rPr>
      </w:pPr>
    </w:p>
    <w:p w14:paraId="619D940C" w14:textId="77777777" w:rsidR="00A104D5" w:rsidRPr="00577043" w:rsidRDefault="00A104D5" w:rsidP="00A104D5">
      <w:pPr>
        <w:rPr>
          <w:rFonts w:eastAsia="Times New Roman" w:cs="Times New Roman"/>
          <w:color w:val="000000"/>
          <w:lang w:eastAsia="da-DK"/>
        </w:rPr>
      </w:pPr>
      <w:r w:rsidRPr="00577043">
        <w:rPr>
          <w:rFonts w:eastAsia="Times New Roman" w:cs="Times New Roman"/>
          <w:color w:val="000000"/>
          <w:lang w:eastAsia="da-DK"/>
        </w:rPr>
        <w:t xml:space="preserve">   </w:t>
      </w:r>
      <w:r w:rsidRPr="00577043">
        <w:rPr>
          <w:rFonts w:eastAsia="Times New Roman" w:cs="Times New Roman"/>
          <w:b/>
          <w:color w:val="000000"/>
          <w:lang w:eastAsia="da-DK"/>
        </w:rPr>
        <w:t xml:space="preserve">§ 8. </w:t>
      </w:r>
      <w:r w:rsidRPr="00577043">
        <w:rPr>
          <w:rFonts w:eastAsia="Times New Roman" w:cs="Times New Roman"/>
          <w:color w:val="000000"/>
          <w:lang w:eastAsia="da-DK"/>
        </w:rPr>
        <w:t>De videnskabsetiske lægemiddelkomiteer følger forskningsudviklingen inden for lægemiddelforsøg og virker for forståelsen af de etiske problemstillinger, som udviklingen kan medføre i forhold til sundhedsvæsenet og de sundhedsvidenskabelige forskningsmiljøer.</w:t>
      </w:r>
    </w:p>
    <w:p w14:paraId="75457AC1" w14:textId="77777777" w:rsidR="00A104D5" w:rsidRDefault="00A104D5" w:rsidP="00A104D5">
      <w:pPr>
        <w:rPr>
          <w:rFonts w:eastAsia="Times New Roman" w:cs="Times New Roman"/>
          <w:color w:val="000000"/>
          <w:lang w:eastAsia="da-DK"/>
        </w:rPr>
      </w:pPr>
      <w:r w:rsidRPr="00577043">
        <w:rPr>
          <w:rFonts w:eastAsia="Times New Roman" w:cs="Times New Roman"/>
          <w:color w:val="000000"/>
          <w:lang w:eastAsia="da-DK"/>
        </w:rPr>
        <w:t xml:space="preserve">   </w:t>
      </w:r>
      <w:r w:rsidRPr="00577043">
        <w:rPr>
          <w:rFonts w:eastAsia="Times New Roman" w:cs="Times New Roman"/>
          <w:i/>
          <w:color w:val="000000"/>
          <w:lang w:eastAsia="da-DK"/>
        </w:rPr>
        <w:t>Stk. 2.</w:t>
      </w:r>
      <w:r w:rsidRPr="00577043">
        <w:rPr>
          <w:rFonts w:eastAsia="Times New Roman" w:cs="Times New Roman"/>
          <w:color w:val="000000"/>
          <w:lang w:eastAsia="da-DK"/>
        </w:rPr>
        <w:t xml:space="preserve"> Komiteerne skal aktivt samarbejde og koordinere </w:t>
      </w:r>
      <w:r>
        <w:rPr>
          <w:rFonts w:eastAsia="Times New Roman" w:cs="Times New Roman"/>
          <w:color w:val="000000"/>
          <w:lang w:eastAsia="da-DK"/>
        </w:rPr>
        <w:t>opgave</w:t>
      </w:r>
      <w:r w:rsidRPr="00577043">
        <w:rPr>
          <w:rFonts w:eastAsia="Times New Roman" w:cs="Times New Roman"/>
          <w:color w:val="000000"/>
          <w:lang w:eastAsia="da-DK"/>
        </w:rPr>
        <w:t>varetagelsen med relevante nationale og internationale myndigheder og organisationer m.v.</w:t>
      </w:r>
    </w:p>
    <w:p w14:paraId="05833B9F" w14:textId="77777777" w:rsidR="00A104D5" w:rsidRDefault="00A104D5" w:rsidP="00A104D5">
      <w:pPr>
        <w:rPr>
          <w:rFonts w:eastAsia="Times New Roman" w:cs="Times New Roman"/>
          <w:color w:val="000000"/>
          <w:lang w:eastAsia="da-DK"/>
        </w:rPr>
      </w:pPr>
    </w:p>
    <w:p w14:paraId="1692FFD5" w14:textId="77777777" w:rsidR="00A104D5" w:rsidRPr="00577043" w:rsidRDefault="00A104D5" w:rsidP="00A104D5">
      <w:pPr>
        <w:rPr>
          <w:rFonts w:eastAsia="Times New Roman" w:cs="Times New Roman"/>
          <w:color w:val="000000"/>
          <w:lang w:eastAsia="da-DK"/>
        </w:rPr>
      </w:pPr>
      <w:r w:rsidRPr="00577043">
        <w:rPr>
          <w:rFonts w:eastAsia="Times New Roman" w:cs="Times New Roman"/>
          <w:color w:val="000000"/>
          <w:lang w:eastAsia="da-DK"/>
        </w:rPr>
        <w:t xml:space="preserve">   </w:t>
      </w:r>
    </w:p>
    <w:p w14:paraId="206D4348" w14:textId="77777777" w:rsidR="00A104D5" w:rsidRPr="00577043" w:rsidRDefault="00A104D5" w:rsidP="00A104D5">
      <w:pPr>
        <w:jc w:val="center"/>
        <w:rPr>
          <w:rFonts w:cs="Times New Roman"/>
          <w:lang w:eastAsia="da-DK"/>
        </w:rPr>
      </w:pPr>
    </w:p>
    <w:p w14:paraId="1ABADDC7" w14:textId="77777777" w:rsidR="00FC4F6E" w:rsidRPr="00577043" w:rsidRDefault="0000591B" w:rsidP="00A33AF2">
      <w:pPr>
        <w:keepNext/>
        <w:keepLines/>
        <w:jc w:val="center"/>
        <w:rPr>
          <w:rFonts w:cs="Times New Roman"/>
        </w:rPr>
      </w:pPr>
      <w:r w:rsidRPr="00577043">
        <w:rPr>
          <w:rFonts w:cs="Times New Roman"/>
        </w:rPr>
        <w:t xml:space="preserve">Kapitel </w:t>
      </w:r>
      <w:r w:rsidR="00434E2A">
        <w:rPr>
          <w:rFonts w:cs="Times New Roman"/>
        </w:rPr>
        <w:t>4</w:t>
      </w:r>
    </w:p>
    <w:p w14:paraId="0DDACCC0" w14:textId="77777777" w:rsidR="006F182A" w:rsidRPr="00577043" w:rsidRDefault="006F182A" w:rsidP="00A33AF2">
      <w:pPr>
        <w:keepNext/>
        <w:keepLines/>
        <w:jc w:val="center"/>
        <w:rPr>
          <w:rFonts w:cs="Times New Roman"/>
        </w:rPr>
      </w:pPr>
    </w:p>
    <w:p w14:paraId="1DED90BC" w14:textId="77777777" w:rsidR="00E6736E" w:rsidRPr="00577043" w:rsidRDefault="00AA340B" w:rsidP="00A33AF2">
      <w:pPr>
        <w:pStyle w:val="Overskrift2"/>
        <w:rPr>
          <w:rFonts w:eastAsia="Times New Roman" w:cs="Times New Roman"/>
          <w:b w:val="0"/>
          <w:i/>
          <w:lang w:eastAsia="da-DK"/>
        </w:rPr>
      </w:pPr>
      <w:r>
        <w:rPr>
          <w:rFonts w:cs="Times New Roman"/>
          <w:b w:val="0"/>
          <w:i/>
        </w:rPr>
        <w:t>Kompetence ved behandling af a</w:t>
      </w:r>
      <w:r w:rsidR="008A7374" w:rsidRPr="00577043">
        <w:rPr>
          <w:rFonts w:cs="Times New Roman"/>
          <w:b w:val="0"/>
          <w:i/>
        </w:rPr>
        <w:t>nsøgninger</w:t>
      </w:r>
      <w:r w:rsidR="00F6750B" w:rsidRPr="00577043">
        <w:rPr>
          <w:rFonts w:eastAsia="Times New Roman" w:cs="Times New Roman"/>
          <w:b w:val="0"/>
          <w:i/>
          <w:lang w:eastAsia="da-DK"/>
        </w:rPr>
        <w:t xml:space="preserve"> </w:t>
      </w:r>
      <w:r w:rsidR="008A7374" w:rsidRPr="00577043">
        <w:rPr>
          <w:rFonts w:eastAsia="Times New Roman" w:cs="Times New Roman"/>
          <w:b w:val="0"/>
          <w:i/>
          <w:lang w:eastAsia="da-DK"/>
        </w:rPr>
        <w:t xml:space="preserve">   </w:t>
      </w:r>
      <w:r w:rsidR="00D010EE" w:rsidRPr="00577043">
        <w:rPr>
          <w:rFonts w:eastAsia="Times New Roman" w:cs="Times New Roman"/>
          <w:b w:val="0"/>
          <w:i/>
          <w:lang w:eastAsia="da-DK"/>
        </w:rPr>
        <w:t xml:space="preserve"> </w:t>
      </w:r>
    </w:p>
    <w:p w14:paraId="3DD62B81" w14:textId="77777777" w:rsidR="00054099" w:rsidRPr="00577043" w:rsidRDefault="00054099" w:rsidP="00A33AF2">
      <w:pPr>
        <w:keepNext/>
        <w:keepLines/>
        <w:rPr>
          <w:rFonts w:eastAsia="Times New Roman" w:cs="Times New Roman"/>
          <w:b/>
          <w:color w:val="000000"/>
          <w:lang w:eastAsia="da-DK"/>
        </w:rPr>
      </w:pPr>
    </w:p>
    <w:p w14:paraId="5C4FB7F9" w14:textId="77777777" w:rsidR="00AA340B" w:rsidRPr="00AA340B" w:rsidRDefault="00AA340B" w:rsidP="00AA340B">
      <w:pPr>
        <w:rPr>
          <w:rFonts w:eastAsia="Times New Roman" w:cs="Times New Roman"/>
          <w:b/>
          <w:color w:val="000000"/>
          <w:lang w:eastAsia="da-DK"/>
        </w:rPr>
      </w:pPr>
    </w:p>
    <w:p w14:paraId="7951A990" w14:textId="77777777" w:rsidR="00AA340B" w:rsidRPr="00AA340B" w:rsidRDefault="00AA340B" w:rsidP="00AA340B">
      <w:pPr>
        <w:jc w:val="center"/>
        <w:rPr>
          <w:rFonts w:eastAsia="Times New Roman" w:cs="Times New Roman"/>
          <w:i/>
          <w:color w:val="000000"/>
          <w:lang w:eastAsia="da-DK"/>
        </w:rPr>
      </w:pPr>
      <w:r w:rsidRPr="00AA340B">
        <w:rPr>
          <w:rFonts w:eastAsia="Times New Roman" w:cs="Times New Roman"/>
          <w:i/>
          <w:color w:val="000000"/>
          <w:lang w:eastAsia="da-DK"/>
        </w:rPr>
        <w:t>Samarbejde om forsøg</w:t>
      </w:r>
      <w:r w:rsidR="00D15BA0">
        <w:rPr>
          <w:rFonts w:eastAsia="Times New Roman" w:cs="Times New Roman"/>
          <w:i/>
          <w:color w:val="000000"/>
          <w:lang w:eastAsia="da-DK"/>
        </w:rPr>
        <w:t xml:space="preserve"> m</w:t>
      </w:r>
      <w:r w:rsidR="00094421">
        <w:rPr>
          <w:rFonts w:eastAsia="Times New Roman" w:cs="Times New Roman"/>
          <w:i/>
          <w:color w:val="000000"/>
          <w:lang w:eastAsia="da-DK"/>
        </w:rPr>
        <w:t>.</w:t>
      </w:r>
      <w:r w:rsidR="00D15BA0">
        <w:rPr>
          <w:rFonts w:eastAsia="Times New Roman" w:cs="Times New Roman"/>
          <w:i/>
          <w:color w:val="000000"/>
          <w:lang w:eastAsia="da-DK"/>
        </w:rPr>
        <w:t>v.</w:t>
      </w:r>
    </w:p>
    <w:p w14:paraId="4CE2FEE9" w14:textId="77777777" w:rsidR="00AA340B" w:rsidRPr="00AA340B" w:rsidRDefault="00AA340B" w:rsidP="00AA340B">
      <w:pPr>
        <w:rPr>
          <w:rFonts w:eastAsia="Times New Roman" w:cs="Times New Roman"/>
          <w:i/>
          <w:color w:val="000000"/>
          <w:lang w:eastAsia="da-DK"/>
        </w:rPr>
      </w:pPr>
    </w:p>
    <w:p w14:paraId="3B5A0564" w14:textId="77777777" w:rsidR="00AA340B" w:rsidRPr="00AA340B" w:rsidRDefault="00AA340B" w:rsidP="00AA340B">
      <w:pPr>
        <w:rPr>
          <w:rFonts w:eastAsia="Times New Roman" w:cs="Times New Roman"/>
          <w:color w:val="000000"/>
          <w:lang w:eastAsia="da-DK"/>
        </w:rPr>
      </w:pPr>
      <w:r w:rsidRPr="00AA340B">
        <w:rPr>
          <w:rFonts w:eastAsia="Times New Roman" w:cs="Times New Roman"/>
          <w:i/>
          <w:color w:val="000000"/>
          <w:lang w:eastAsia="da-DK"/>
        </w:rPr>
        <w:t xml:space="preserve">    </w:t>
      </w:r>
      <w:r w:rsidRPr="00AA340B">
        <w:rPr>
          <w:rFonts w:eastAsia="Times New Roman" w:cs="Times New Roman"/>
          <w:b/>
          <w:color w:val="000000"/>
          <w:lang w:eastAsia="da-DK"/>
        </w:rPr>
        <w:t xml:space="preserve">§ </w:t>
      </w:r>
      <w:r w:rsidR="004C3545">
        <w:rPr>
          <w:rFonts w:eastAsia="Times New Roman" w:cs="Times New Roman"/>
          <w:b/>
          <w:color w:val="000000"/>
          <w:lang w:eastAsia="da-DK"/>
        </w:rPr>
        <w:t>9</w:t>
      </w:r>
      <w:r w:rsidRPr="00AA340B">
        <w:rPr>
          <w:rFonts w:eastAsia="Times New Roman" w:cs="Times New Roman"/>
          <w:b/>
          <w:color w:val="000000"/>
          <w:lang w:eastAsia="da-DK"/>
        </w:rPr>
        <w:t xml:space="preserve">. </w:t>
      </w:r>
      <w:r w:rsidR="0058651B">
        <w:rPr>
          <w:rFonts w:eastAsia="Times New Roman" w:cs="Times New Roman"/>
          <w:color w:val="000000"/>
          <w:lang w:eastAsia="da-DK"/>
        </w:rPr>
        <w:t>Lægemiddelstyrelsen</w:t>
      </w:r>
      <w:r w:rsidRPr="00AA340B">
        <w:rPr>
          <w:rFonts w:eastAsia="Times New Roman" w:cs="Times New Roman"/>
          <w:color w:val="000000"/>
          <w:lang w:eastAsia="da-DK"/>
        </w:rPr>
        <w:t xml:space="preserve"> og de videnskabsetiske lægemiddelkomiteer koordinerer behandlingen af ansøgninger og opfølgningen på godkendte forsøg. </w:t>
      </w:r>
      <w:r w:rsidR="0058651B">
        <w:rPr>
          <w:rFonts w:eastAsia="Times New Roman" w:cs="Times New Roman"/>
          <w:color w:val="000000"/>
          <w:lang w:eastAsia="da-DK"/>
        </w:rPr>
        <w:t>Lægemiddelstyrelsen</w:t>
      </w:r>
      <w:r w:rsidR="00C04398">
        <w:rPr>
          <w:rFonts w:eastAsia="Times New Roman" w:cs="Times New Roman"/>
          <w:color w:val="000000"/>
          <w:lang w:eastAsia="da-DK"/>
        </w:rPr>
        <w:t xml:space="preserve"> og de videnskabsetiske lægemiddelkomiteer skal i øvrigt samarbejde om opgavevaretagelse efter forordningen.</w:t>
      </w:r>
      <w:r w:rsidRPr="00AA340B">
        <w:rPr>
          <w:rFonts w:eastAsia="Times New Roman" w:cs="Times New Roman"/>
          <w:i/>
          <w:color w:val="000000"/>
          <w:lang w:eastAsia="da-DK"/>
        </w:rPr>
        <w:t xml:space="preserve"> </w:t>
      </w:r>
      <w:r w:rsidRPr="00AA340B">
        <w:rPr>
          <w:rFonts w:eastAsia="Times New Roman" w:cs="Times New Roman"/>
          <w:color w:val="000000"/>
          <w:lang w:eastAsia="da-DK"/>
        </w:rPr>
        <w:t xml:space="preserve">   </w:t>
      </w:r>
    </w:p>
    <w:p w14:paraId="078D9184" w14:textId="77777777" w:rsidR="00AA340B" w:rsidRDefault="00AA340B" w:rsidP="00AA340B">
      <w:pPr>
        <w:rPr>
          <w:rFonts w:eastAsia="Times New Roman" w:cs="Times New Roman"/>
          <w:i/>
          <w:color w:val="000000"/>
          <w:lang w:eastAsia="da-DK"/>
        </w:rPr>
      </w:pPr>
      <w:r w:rsidRPr="00AA340B">
        <w:rPr>
          <w:rFonts w:eastAsia="Times New Roman" w:cs="Times New Roman"/>
          <w:i/>
          <w:color w:val="000000"/>
          <w:lang w:eastAsia="da-DK"/>
        </w:rPr>
        <w:t xml:space="preserve">   Stk. 2.</w:t>
      </w:r>
      <w:r w:rsidRPr="00AA340B">
        <w:rPr>
          <w:rFonts w:eastAsia="Times New Roman" w:cs="Times New Roman"/>
          <w:color w:val="000000"/>
          <w:lang w:eastAsia="da-DK"/>
        </w:rPr>
        <w:t xml:space="preserve"> </w:t>
      </w:r>
      <w:r w:rsidR="0058651B">
        <w:rPr>
          <w:rFonts w:eastAsia="Times New Roman" w:cs="Times New Roman"/>
          <w:color w:val="000000"/>
          <w:lang w:eastAsia="da-DK"/>
        </w:rPr>
        <w:t>Lægemiddelstyrelsen</w:t>
      </w:r>
      <w:r w:rsidRPr="00AA340B">
        <w:rPr>
          <w:rFonts w:eastAsia="Times New Roman" w:cs="Times New Roman"/>
          <w:color w:val="000000"/>
          <w:lang w:eastAsia="da-DK"/>
        </w:rPr>
        <w:t xml:space="preserve"> fungerer som nationalt kontaktpunkt, jf. art</w:t>
      </w:r>
      <w:r w:rsidR="00522513">
        <w:rPr>
          <w:rFonts w:eastAsia="Times New Roman" w:cs="Times New Roman"/>
          <w:color w:val="000000"/>
          <w:lang w:eastAsia="da-DK"/>
        </w:rPr>
        <w:t>ikel</w:t>
      </w:r>
      <w:r w:rsidRPr="00AA340B">
        <w:rPr>
          <w:rFonts w:eastAsia="Times New Roman" w:cs="Times New Roman"/>
          <w:color w:val="000000"/>
          <w:lang w:eastAsia="da-DK"/>
        </w:rPr>
        <w:t xml:space="preserve"> 83 i </w:t>
      </w:r>
      <w:r w:rsidR="00294601">
        <w:rPr>
          <w:rFonts w:eastAsia="Times New Roman" w:cs="Times New Roman"/>
          <w:color w:val="000000"/>
          <w:lang w:eastAsia="da-DK"/>
        </w:rPr>
        <w:t>forordningen</w:t>
      </w:r>
      <w:r w:rsidRPr="00AA340B">
        <w:rPr>
          <w:rFonts w:eastAsia="Times New Roman" w:cs="Times New Roman"/>
          <w:color w:val="000000"/>
          <w:lang w:eastAsia="da-DK"/>
        </w:rPr>
        <w:t>.</w:t>
      </w:r>
      <w:r w:rsidRPr="00AA340B">
        <w:rPr>
          <w:rFonts w:eastAsia="Times New Roman" w:cs="Times New Roman"/>
          <w:i/>
          <w:color w:val="000000"/>
          <w:lang w:eastAsia="da-DK"/>
        </w:rPr>
        <w:t xml:space="preserve"> </w:t>
      </w:r>
    </w:p>
    <w:p w14:paraId="5D1433AB" w14:textId="77777777" w:rsidR="00E35E4A" w:rsidRDefault="00D15BA0" w:rsidP="00E35E4A">
      <w:pPr>
        <w:rPr>
          <w:color w:val="000000"/>
          <w:lang w:eastAsia="da-DK"/>
        </w:rPr>
      </w:pPr>
      <w:r>
        <w:rPr>
          <w:rFonts w:eastAsia="Times New Roman" w:cs="Times New Roman"/>
          <w:i/>
          <w:color w:val="000000"/>
          <w:lang w:eastAsia="da-DK"/>
        </w:rPr>
        <w:t xml:space="preserve">   </w:t>
      </w:r>
      <w:r w:rsidR="00E35E4A">
        <w:rPr>
          <w:rFonts w:eastAsia="Times New Roman" w:cs="Times New Roman"/>
          <w:i/>
          <w:color w:val="000000"/>
          <w:lang w:eastAsia="da-DK"/>
        </w:rPr>
        <w:t xml:space="preserve">Stk. 3. </w:t>
      </w:r>
      <w:r w:rsidR="00E35E4A">
        <w:rPr>
          <w:color w:val="000000"/>
          <w:lang w:eastAsia="da-DK"/>
        </w:rPr>
        <w:t xml:space="preserve">Når Danmark er rapporterende medlemsstat, varetager </w:t>
      </w:r>
      <w:r w:rsidR="0058651B">
        <w:rPr>
          <w:color w:val="000000"/>
          <w:lang w:eastAsia="da-DK"/>
        </w:rPr>
        <w:t>Lægemiddelstyrelsen</w:t>
      </w:r>
      <w:r w:rsidR="00E35E4A">
        <w:rPr>
          <w:color w:val="000000"/>
          <w:lang w:eastAsia="da-DK"/>
        </w:rPr>
        <w:t xml:space="preserve"> alle opgaver pålagt Danmark som rapporterende medlemsstat i henhold til forordningen, medmindre andet udtrykkeligt er angivet i denne lov eller retsakter udstedt i medfør af denne lov.</w:t>
      </w:r>
    </w:p>
    <w:p w14:paraId="6B0F023B" w14:textId="77777777" w:rsidR="00DC210C" w:rsidRPr="00AA340B" w:rsidRDefault="00DC210C" w:rsidP="00DC210C">
      <w:pPr>
        <w:rPr>
          <w:rFonts w:eastAsia="Times New Roman" w:cs="Times New Roman"/>
          <w:color w:val="000000"/>
          <w:lang w:eastAsia="da-DK"/>
        </w:rPr>
      </w:pPr>
      <w:r>
        <w:rPr>
          <w:color w:val="000000"/>
          <w:lang w:eastAsia="da-DK"/>
        </w:rPr>
        <w:t xml:space="preserve">   </w:t>
      </w:r>
      <w:r w:rsidRPr="00DC210C">
        <w:rPr>
          <w:i/>
          <w:color w:val="000000"/>
          <w:lang w:eastAsia="da-DK"/>
        </w:rPr>
        <w:t>Stk. 4</w:t>
      </w:r>
      <w:r>
        <w:rPr>
          <w:color w:val="000000"/>
          <w:lang w:eastAsia="da-DK"/>
        </w:rPr>
        <w:t xml:space="preserve">. </w:t>
      </w:r>
      <w:r w:rsidR="0058651B">
        <w:rPr>
          <w:color w:val="000000"/>
          <w:lang w:eastAsia="da-DK"/>
        </w:rPr>
        <w:t>Lægemiddelstyrelsen</w:t>
      </w:r>
      <w:r>
        <w:rPr>
          <w:color w:val="000000"/>
          <w:lang w:eastAsia="da-DK"/>
        </w:rPr>
        <w:t xml:space="preserve"> vurderer, om et forsøg eller aktiviteter falder inden for denne lov eller </w:t>
      </w:r>
      <w:r w:rsidR="00294601">
        <w:rPr>
          <w:color w:val="000000"/>
          <w:lang w:eastAsia="da-DK"/>
        </w:rPr>
        <w:t>forordningen</w:t>
      </w:r>
      <w:r>
        <w:rPr>
          <w:rFonts w:eastAsia="Times New Roman" w:cs="Times New Roman"/>
          <w:color w:val="000000"/>
          <w:lang w:eastAsia="da-DK"/>
        </w:rPr>
        <w:t>.</w:t>
      </w:r>
    </w:p>
    <w:p w14:paraId="39D58CD7" w14:textId="77777777" w:rsidR="00DC210C" w:rsidRPr="00AA340B" w:rsidRDefault="00DC210C" w:rsidP="00E35E4A">
      <w:pPr>
        <w:rPr>
          <w:rFonts w:eastAsia="Times New Roman" w:cs="Times New Roman"/>
          <w:color w:val="000000"/>
          <w:lang w:eastAsia="da-DK"/>
        </w:rPr>
      </w:pPr>
    </w:p>
    <w:p w14:paraId="5088F43D" w14:textId="77777777" w:rsidR="00AA340B" w:rsidRPr="00AA340B" w:rsidRDefault="00AA340B" w:rsidP="00AA340B">
      <w:pPr>
        <w:rPr>
          <w:rFonts w:eastAsia="Times New Roman" w:cs="Times New Roman"/>
          <w:b/>
          <w:color w:val="000000"/>
          <w:lang w:eastAsia="da-DK"/>
        </w:rPr>
      </w:pPr>
    </w:p>
    <w:p w14:paraId="310EA3B9" w14:textId="77777777" w:rsidR="00AA340B" w:rsidRPr="00AA340B" w:rsidRDefault="00AA340B" w:rsidP="00AA340B">
      <w:pPr>
        <w:jc w:val="center"/>
        <w:rPr>
          <w:rFonts w:eastAsia="Times New Roman" w:cs="Times New Roman"/>
          <w:i/>
          <w:color w:val="000000"/>
          <w:lang w:eastAsia="da-DK"/>
        </w:rPr>
      </w:pPr>
      <w:r w:rsidRPr="00AA340B">
        <w:rPr>
          <w:rFonts w:eastAsia="Times New Roman" w:cs="Times New Roman"/>
          <w:i/>
          <w:color w:val="000000"/>
          <w:lang w:eastAsia="da-DK"/>
        </w:rPr>
        <w:t>Ansøgning om godkendelse af forsøg</w:t>
      </w:r>
    </w:p>
    <w:p w14:paraId="19ABC8B3" w14:textId="77777777" w:rsidR="00AA340B" w:rsidRPr="00AA340B" w:rsidRDefault="00AA340B" w:rsidP="00AA340B">
      <w:pPr>
        <w:rPr>
          <w:rFonts w:eastAsia="Times New Roman" w:cs="Times New Roman"/>
          <w:color w:val="000000"/>
          <w:lang w:eastAsia="da-DK"/>
        </w:rPr>
      </w:pPr>
    </w:p>
    <w:p w14:paraId="6E3F425B" w14:textId="77777777" w:rsidR="00AA340B" w:rsidRPr="00AA340B" w:rsidRDefault="00AA340B" w:rsidP="00AA340B">
      <w:pPr>
        <w:rPr>
          <w:rFonts w:eastAsia="Times New Roman" w:cs="Times New Roman"/>
          <w:i/>
          <w:color w:val="000000"/>
          <w:lang w:eastAsia="da-DK"/>
        </w:rPr>
      </w:pPr>
      <w:r w:rsidRPr="00AA340B">
        <w:rPr>
          <w:rFonts w:eastAsia="Times New Roman" w:cs="Times New Roman"/>
          <w:color w:val="000000"/>
          <w:lang w:eastAsia="da-DK"/>
        </w:rPr>
        <w:t xml:space="preserve">      </w:t>
      </w:r>
      <w:r w:rsidRPr="00AA340B">
        <w:rPr>
          <w:rFonts w:eastAsia="Times New Roman" w:cs="Times New Roman"/>
          <w:b/>
          <w:color w:val="000000"/>
          <w:lang w:eastAsia="da-DK"/>
        </w:rPr>
        <w:t xml:space="preserve">§ </w:t>
      </w:r>
      <w:r w:rsidR="004C3545">
        <w:rPr>
          <w:rFonts w:eastAsia="Times New Roman" w:cs="Times New Roman"/>
          <w:b/>
          <w:color w:val="000000"/>
          <w:lang w:eastAsia="da-DK"/>
        </w:rPr>
        <w:t>10</w:t>
      </w:r>
      <w:r w:rsidRPr="00AA340B">
        <w:rPr>
          <w:rFonts w:eastAsia="Times New Roman" w:cs="Times New Roman"/>
          <w:b/>
          <w:color w:val="000000"/>
          <w:lang w:eastAsia="da-DK"/>
        </w:rPr>
        <w:t>.</w:t>
      </w:r>
      <w:r w:rsidRPr="00AA340B">
        <w:rPr>
          <w:rFonts w:eastAsia="Times New Roman" w:cs="Times New Roman"/>
          <w:color w:val="000000"/>
          <w:lang w:eastAsia="da-DK"/>
        </w:rPr>
        <w:t xml:space="preserve"> </w:t>
      </w:r>
      <w:r w:rsidR="0058651B">
        <w:rPr>
          <w:rFonts w:eastAsia="Times New Roman" w:cs="Times New Roman"/>
          <w:color w:val="000000"/>
          <w:lang w:eastAsia="da-DK"/>
        </w:rPr>
        <w:t>Lægemiddelstyrelsen</w:t>
      </w:r>
      <w:r w:rsidRPr="00AA340B">
        <w:rPr>
          <w:rFonts w:eastAsia="Times New Roman" w:cs="Times New Roman"/>
          <w:color w:val="000000"/>
          <w:lang w:eastAsia="da-DK"/>
        </w:rPr>
        <w:t xml:space="preserve"> afgør, om et klinisk forsøg godkendes, om det godkendes på visse betingelser, eller om der gives afslag på godkendelse og meddeler afgørelsen i overensstemmelse med artikel 8, stk. 1, og artikel 14, stk. 3, i </w:t>
      </w:r>
      <w:r w:rsidR="00294601">
        <w:rPr>
          <w:rFonts w:eastAsia="Times New Roman" w:cs="Times New Roman"/>
          <w:color w:val="000000"/>
          <w:lang w:eastAsia="da-DK"/>
        </w:rPr>
        <w:t>forordningen</w:t>
      </w:r>
      <w:r w:rsidRPr="00AA340B">
        <w:rPr>
          <w:rFonts w:eastAsia="Times New Roman" w:cs="Times New Roman"/>
          <w:color w:val="000000"/>
          <w:lang w:eastAsia="da-DK"/>
        </w:rPr>
        <w:t xml:space="preserve">, jf. dog stk. </w:t>
      </w:r>
      <w:r w:rsidR="0078260C">
        <w:rPr>
          <w:rFonts w:eastAsia="Times New Roman" w:cs="Times New Roman"/>
          <w:color w:val="000000"/>
          <w:lang w:eastAsia="da-DK"/>
        </w:rPr>
        <w:t>6</w:t>
      </w:r>
      <w:r w:rsidRPr="00AA340B">
        <w:rPr>
          <w:rFonts w:eastAsia="Times New Roman" w:cs="Times New Roman"/>
          <w:color w:val="000000"/>
          <w:lang w:eastAsia="da-DK"/>
        </w:rPr>
        <w:t>.</w:t>
      </w:r>
    </w:p>
    <w:p w14:paraId="0BE19A44" w14:textId="77777777" w:rsidR="00AA340B" w:rsidRPr="00AA340B" w:rsidRDefault="00D15BA0" w:rsidP="00AA340B">
      <w:pPr>
        <w:rPr>
          <w:rFonts w:eastAsia="Times New Roman" w:cs="Times New Roman"/>
          <w:color w:val="000000"/>
          <w:lang w:eastAsia="da-DK"/>
        </w:rPr>
      </w:pPr>
      <w:r>
        <w:rPr>
          <w:rFonts w:eastAsia="Times New Roman" w:cs="Times New Roman"/>
          <w:i/>
          <w:color w:val="000000"/>
          <w:lang w:eastAsia="da-DK"/>
        </w:rPr>
        <w:t xml:space="preserve">   </w:t>
      </w:r>
      <w:r w:rsidR="00AA340B" w:rsidRPr="00AA340B">
        <w:rPr>
          <w:rFonts w:eastAsia="Times New Roman" w:cs="Times New Roman"/>
          <w:i/>
          <w:color w:val="000000"/>
          <w:lang w:eastAsia="da-DK"/>
        </w:rPr>
        <w:t xml:space="preserve">Stk. </w:t>
      </w:r>
      <w:r>
        <w:rPr>
          <w:rFonts w:eastAsia="Times New Roman" w:cs="Times New Roman"/>
          <w:i/>
          <w:color w:val="000000"/>
          <w:lang w:eastAsia="da-DK"/>
        </w:rPr>
        <w:t>2</w:t>
      </w:r>
      <w:r w:rsidR="00AA340B" w:rsidRPr="00AA340B">
        <w:rPr>
          <w:rFonts w:eastAsia="Times New Roman" w:cs="Times New Roman"/>
          <w:i/>
          <w:color w:val="000000"/>
          <w:lang w:eastAsia="da-DK"/>
        </w:rPr>
        <w:t>.</w:t>
      </w:r>
      <w:r w:rsidR="00AA340B" w:rsidRPr="00AA340B">
        <w:rPr>
          <w:rFonts w:eastAsia="Times New Roman" w:cs="Times New Roman"/>
          <w:color w:val="000000"/>
          <w:lang w:eastAsia="da-DK"/>
        </w:rPr>
        <w:t xml:space="preserve"> </w:t>
      </w:r>
      <w:r w:rsidR="0058651B">
        <w:rPr>
          <w:rFonts w:eastAsia="Times New Roman" w:cs="Times New Roman"/>
          <w:color w:val="000000"/>
          <w:lang w:eastAsia="da-DK"/>
        </w:rPr>
        <w:t>Lægemiddelstyrelsen</w:t>
      </w:r>
      <w:r w:rsidR="00AA340B" w:rsidRPr="00AA340B">
        <w:rPr>
          <w:rFonts w:eastAsia="Times New Roman" w:cs="Times New Roman"/>
          <w:color w:val="000000"/>
          <w:lang w:eastAsia="da-DK"/>
        </w:rPr>
        <w:t xml:space="preserve"> erklærer, at Danmark er uenig i den rapporterende medlemsstats konklusion </w:t>
      </w:r>
      <w:r w:rsidR="00AA340B" w:rsidRPr="00AA340B">
        <w:rPr>
          <w:rFonts w:eastAsia="Times New Roman" w:cs="Times New Roman"/>
          <w:iCs/>
          <w:color w:val="000000"/>
          <w:lang w:eastAsia="da-DK"/>
        </w:rPr>
        <w:t>for så vidt angår del I af vurderingsrapporten</w:t>
      </w:r>
      <w:r w:rsidR="00AA340B" w:rsidRPr="00AA340B">
        <w:rPr>
          <w:rFonts w:eastAsia="Times New Roman" w:cs="Times New Roman"/>
          <w:color w:val="000000"/>
          <w:lang w:eastAsia="da-DK"/>
        </w:rPr>
        <w:t>, jf.</w:t>
      </w:r>
      <w:r w:rsidR="00AA340B" w:rsidRPr="00AA340B">
        <w:rPr>
          <w:rFonts w:eastAsia="Times New Roman" w:cs="Times New Roman"/>
          <w:iCs/>
          <w:color w:val="000000"/>
          <w:lang w:eastAsia="da-DK"/>
        </w:rPr>
        <w:t xml:space="preserve"> artikel 8, stk. 2, i </w:t>
      </w:r>
      <w:r w:rsidR="00294601">
        <w:rPr>
          <w:rFonts w:eastAsia="Times New Roman" w:cs="Times New Roman"/>
          <w:iCs/>
          <w:color w:val="000000"/>
          <w:lang w:eastAsia="da-DK"/>
        </w:rPr>
        <w:t>forordningen</w:t>
      </w:r>
      <w:r w:rsidR="00AA340B" w:rsidRPr="00AA340B">
        <w:rPr>
          <w:rFonts w:eastAsia="Times New Roman" w:cs="Times New Roman"/>
          <w:iCs/>
          <w:color w:val="000000"/>
          <w:lang w:eastAsia="da-DK"/>
        </w:rPr>
        <w:t xml:space="preserve">, når en ansøgning alene vedrører aspekter, der er omfattet af del I af vurderingsrapporten, hvis enten </w:t>
      </w:r>
      <w:r w:rsidR="0058651B">
        <w:rPr>
          <w:rFonts w:eastAsia="Times New Roman" w:cs="Times New Roman"/>
          <w:iCs/>
          <w:color w:val="000000"/>
          <w:lang w:eastAsia="da-DK"/>
        </w:rPr>
        <w:t>Lægemiddelstyrelsen</w:t>
      </w:r>
      <w:r w:rsidR="00AA340B" w:rsidRPr="00AA340B">
        <w:rPr>
          <w:rFonts w:eastAsia="Times New Roman" w:cs="Times New Roman"/>
          <w:iCs/>
          <w:color w:val="000000"/>
          <w:lang w:eastAsia="da-DK"/>
        </w:rPr>
        <w:t xml:space="preserve"> eller den videnskabsetiske lægemiddelkomité er uenig i den nævnte konklusion.</w:t>
      </w:r>
      <w:r w:rsidR="00AA340B" w:rsidRPr="00AA340B">
        <w:rPr>
          <w:rFonts w:eastAsia="Times New Roman" w:cs="Times New Roman"/>
          <w:color w:val="000000"/>
          <w:lang w:eastAsia="da-DK"/>
        </w:rPr>
        <w:t xml:space="preserve"> </w:t>
      </w:r>
    </w:p>
    <w:p w14:paraId="68E7EA42" w14:textId="77777777" w:rsidR="00AA340B" w:rsidRPr="00AA340B" w:rsidRDefault="00AA340B" w:rsidP="00AA340B">
      <w:pPr>
        <w:rPr>
          <w:rFonts w:eastAsia="Times New Roman" w:cs="Times New Roman"/>
          <w:color w:val="000000"/>
          <w:lang w:eastAsia="da-DK"/>
        </w:rPr>
      </w:pPr>
      <w:r w:rsidRPr="00AA340B">
        <w:rPr>
          <w:rFonts w:eastAsia="Times New Roman" w:cs="Times New Roman"/>
          <w:i/>
          <w:color w:val="000000"/>
          <w:lang w:eastAsia="da-DK"/>
        </w:rPr>
        <w:lastRenderedPageBreak/>
        <w:t xml:space="preserve">   Stk. </w:t>
      </w:r>
      <w:r w:rsidR="00D15BA0">
        <w:rPr>
          <w:rFonts w:eastAsia="Times New Roman" w:cs="Times New Roman"/>
          <w:i/>
          <w:color w:val="000000"/>
          <w:lang w:eastAsia="da-DK"/>
        </w:rPr>
        <w:t>3</w:t>
      </w:r>
      <w:r w:rsidRPr="00AA340B">
        <w:rPr>
          <w:rFonts w:eastAsia="Times New Roman" w:cs="Times New Roman"/>
          <w:i/>
          <w:color w:val="000000"/>
          <w:lang w:eastAsia="da-DK"/>
        </w:rPr>
        <w:t>.</w:t>
      </w:r>
      <w:r w:rsidRPr="00AA340B">
        <w:rPr>
          <w:rFonts w:eastAsia="Times New Roman" w:cs="Times New Roman"/>
          <w:color w:val="000000"/>
          <w:lang w:eastAsia="da-DK"/>
        </w:rPr>
        <w:t xml:space="preserve"> Den videnskabsetiske lægemiddelkomité afgør, om et klinisk forsøg godkendes, om det godkendes på visse betingelser, eller om godkendelse afslås, jf. artikel 8, stk. 1, når en ansøgning alene vedrører aspekter, der er omfattet af del II af vurderingsrapporten, og Danmark </w:t>
      </w:r>
      <w:r w:rsidR="002C59B2">
        <w:rPr>
          <w:rFonts w:eastAsia="Times New Roman" w:cs="Times New Roman"/>
          <w:color w:val="000000"/>
          <w:lang w:eastAsia="da-DK"/>
        </w:rPr>
        <w:t xml:space="preserve">forinden </w:t>
      </w:r>
      <w:r w:rsidRPr="00AA340B">
        <w:rPr>
          <w:rFonts w:eastAsia="Times New Roman" w:cs="Times New Roman"/>
          <w:color w:val="000000"/>
          <w:lang w:eastAsia="da-DK"/>
        </w:rPr>
        <w:t xml:space="preserve">ikke har erklæret sig uenig i den rapporterende medlemsstats konklusion for så vidt angår del I af vurderingsrapporten, jf. stk. 2. </w:t>
      </w:r>
    </w:p>
    <w:p w14:paraId="2412D1BA" w14:textId="77777777" w:rsidR="00AA340B" w:rsidRPr="00AA340B" w:rsidRDefault="00AA340B" w:rsidP="00AA340B">
      <w:pPr>
        <w:rPr>
          <w:rFonts w:eastAsia="Times New Roman" w:cs="Times New Roman"/>
          <w:color w:val="000000"/>
          <w:lang w:eastAsia="da-DK"/>
        </w:rPr>
      </w:pPr>
      <w:r w:rsidRPr="00AA340B">
        <w:rPr>
          <w:rFonts w:eastAsia="Times New Roman" w:cs="Times New Roman"/>
          <w:i/>
          <w:color w:val="000000"/>
          <w:lang w:eastAsia="da-DK"/>
        </w:rPr>
        <w:t xml:space="preserve">    Stk. </w:t>
      </w:r>
      <w:r w:rsidR="00D15BA0">
        <w:rPr>
          <w:rFonts w:eastAsia="Times New Roman" w:cs="Times New Roman"/>
          <w:i/>
          <w:color w:val="000000"/>
          <w:lang w:eastAsia="da-DK"/>
        </w:rPr>
        <w:t>4</w:t>
      </w:r>
      <w:r w:rsidRPr="00AA340B">
        <w:rPr>
          <w:rFonts w:eastAsia="Times New Roman" w:cs="Times New Roman"/>
          <w:i/>
          <w:color w:val="000000"/>
          <w:lang w:eastAsia="da-DK"/>
        </w:rPr>
        <w:t xml:space="preserve">. </w:t>
      </w:r>
      <w:r w:rsidR="0058651B">
        <w:rPr>
          <w:rFonts w:eastAsia="Times New Roman" w:cs="Times New Roman"/>
          <w:color w:val="000000"/>
          <w:lang w:eastAsia="da-DK"/>
        </w:rPr>
        <w:t>Lægemiddelstyrelsen</w:t>
      </w:r>
      <w:r w:rsidRPr="00AA340B">
        <w:rPr>
          <w:rFonts w:eastAsia="Times New Roman" w:cs="Times New Roman"/>
          <w:color w:val="000000"/>
          <w:lang w:eastAsia="da-DK"/>
        </w:rPr>
        <w:t xml:space="preserve"> vurderer, om de sundhedsfaglige aspekter af del I af vurderingsrapporten for en ansøgning </w:t>
      </w:r>
      <w:r w:rsidR="008647A7">
        <w:rPr>
          <w:rFonts w:eastAsia="Times New Roman" w:cs="Times New Roman"/>
          <w:color w:val="000000"/>
          <w:lang w:eastAsia="da-DK"/>
        </w:rPr>
        <w:t>om</w:t>
      </w:r>
      <w:r w:rsidRPr="00AA340B">
        <w:rPr>
          <w:rFonts w:eastAsia="Times New Roman" w:cs="Times New Roman"/>
          <w:color w:val="000000"/>
          <w:lang w:eastAsia="da-DK"/>
        </w:rPr>
        <w:t xml:space="preserve"> kliniske forsøg med humanmedicinske lægemidler er opfyldt, jf. artikel 6, stk. 1, i </w:t>
      </w:r>
      <w:r w:rsidR="00294601">
        <w:rPr>
          <w:rFonts w:eastAsia="Times New Roman" w:cs="Times New Roman"/>
          <w:color w:val="000000"/>
          <w:lang w:eastAsia="da-DK"/>
        </w:rPr>
        <w:t>forordningen</w:t>
      </w:r>
      <w:r w:rsidRPr="00AA340B">
        <w:rPr>
          <w:rFonts w:eastAsia="Times New Roman" w:cs="Times New Roman"/>
          <w:color w:val="000000"/>
          <w:lang w:eastAsia="da-DK"/>
        </w:rPr>
        <w:t xml:space="preserve">. </w:t>
      </w:r>
    </w:p>
    <w:p w14:paraId="010487B1" w14:textId="77777777" w:rsidR="00AA340B" w:rsidRPr="00AA340B" w:rsidRDefault="00AA340B" w:rsidP="00AA340B">
      <w:pPr>
        <w:rPr>
          <w:rFonts w:eastAsia="Times New Roman" w:cs="Times New Roman"/>
          <w:color w:val="000000"/>
          <w:lang w:eastAsia="da-DK"/>
        </w:rPr>
      </w:pPr>
      <w:r w:rsidRPr="00AA340B">
        <w:rPr>
          <w:rFonts w:eastAsia="Times New Roman" w:cs="Times New Roman"/>
          <w:i/>
          <w:color w:val="000000"/>
          <w:lang w:eastAsia="da-DK"/>
        </w:rPr>
        <w:t xml:space="preserve">    Stk. </w:t>
      </w:r>
      <w:r w:rsidR="00D15BA0">
        <w:rPr>
          <w:rFonts w:eastAsia="Times New Roman" w:cs="Times New Roman"/>
          <w:i/>
          <w:color w:val="000000"/>
          <w:lang w:eastAsia="da-DK"/>
        </w:rPr>
        <w:t>5</w:t>
      </w:r>
      <w:r w:rsidRPr="00AA340B">
        <w:rPr>
          <w:rFonts w:eastAsia="Times New Roman" w:cs="Times New Roman"/>
          <w:i/>
          <w:color w:val="000000"/>
          <w:lang w:eastAsia="da-DK"/>
        </w:rPr>
        <w:t>.</w:t>
      </w:r>
      <w:r w:rsidRPr="00AA340B">
        <w:rPr>
          <w:rFonts w:eastAsia="Times New Roman" w:cs="Times New Roman"/>
          <w:color w:val="000000"/>
          <w:lang w:eastAsia="da-DK"/>
        </w:rPr>
        <w:t xml:space="preserve"> Den videnskabsetiske lægemiddelkomité vurderer, om de videnskabsetiske aspekter af del I af vurderingsrapporten er opfyldt, jf. artikel 6, stk. 1, i </w:t>
      </w:r>
      <w:r w:rsidR="00294601">
        <w:rPr>
          <w:rFonts w:eastAsia="Times New Roman" w:cs="Times New Roman"/>
          <w:color w:val="000000"/>
          <w:lang w:eastAsia="da-DK"/>
        </w:rPr>
        <w:t>forordningen</w:t>
      </w:r>
      <w:r w:rsidRPr="00AA340B">
        <w:rPr>
          <w:rFonts w:eastAsia="Times New Roman" w:cs="Times New Roman"/>
          <w:color w:val="000000"/>
          <w:lang w:eastAsia="da-DK"/>
        </w:rPr>
        <w:t xml:space="preserve">, og om aspekterne omfattet af del II af vurderingsrapporten er opfyldt, jf. artikel 7, stk. 1, i </w:t>
      </w:r>
      <w:r w:rsidR="00294601">
        <w:rPr>
          <w:rFonts w:eastAsia="Times New Roman" w:cs="Times New Roman"/>
          <w:color w:val="000000"/>
          <w:lang w:eastAsia="da-DK"/>
        </w:rPr>
        <w:t>forordningen</w:t>
      </w:r>
      <w:r w:rsidRPr="00AA340B">
        <w:rPr>
          <w:rFonts w:eastAsia="Times New Roman" w:cs="Times New Roman"/>
          <w:color w:val="000000"/>
          <w:lang w:eastAsia="da-DK"/>
        </w:rPr>
        <w:t>.</w:t>
      </w:r>
    </w:p>
    <w:p w14:paraId="25D650D8" w14:textId="77777777" w:rsidR="00AA340B" w:rsidRPr="00AA340B" w:rsidRDefault="00AA340B" w:rsidP="00AA340B">
      <w:pPr>
        <w:rPr>
          <w:rFonts w:eastAsia="Times New Roman" w:cs="Times New Roman"/>
          <w:color w:val="000000"/>
          <w:lang w:eastAsia="da-DK"/>
        </w:rPr>
      </w:pPr>
      <w:r w:rsidRPr="00AA340B">
        <w:rPr>
          <w:rFonts w:eastAsia="Times New Roman" w:cs="Times New Roman"/>
          <w:i/>
          <w:color w:val="000000"/>
          <w:lang w:eastAsia="da-DK"/>
        </w:rPr>
        <w:t xml:space="preserve">   Stk. </w:t>
      </w:r>
      <w:r w:rsidR="00D15BA0">
        <w:rPr>
          <w:rFonts w:eastAsia="Times New Roman" w:cs="Times New Roman"/>
          <w:i/>
          <w:color w:val="000000"/>
          <w:lang w:eastAsia="da-DK"/>
        </w:rPr>
        <w:t>6</w:t>
      </w:r>
      <w:r w:rsidRPr="00AA340B">
        <w:rPr>
          <w:rFonts w:eastAsia="Times New Roman" w:cs="Times New Roman"/>
          <w:i/>
          <w:color w:val="000000"/>
          <w:lang w:eastAsia="da-DK"/>
        </w:rPr>
        <w:t>.</w:t>
      </w:r>
      <w:r w:rsidRPr="00AA340B">
        <w:rPr>
          <w:rFonts w:eastAsia="Times New Roman" w:cs="Times New Roman"/>
          <w:color w:val="000000"/>
          <w:lang w:eastAsia="da-DK"/>
        </w:rPr>
        <w:t xml:space="preserve"> </w:t>
      </w:r>
      <w:r w:rsidR="0058651B">
        <w:rPr>
          <w:rFonts w:eastAsia="Times New Roman" w:cs="Times New Roman"/>
          <w:color w:val="000000"/>
          <w:lang w:eastAsia="da-DK"/>
        </w:rPr>
        <w:t>Lægemiddelstyrelsen</w:t>
      </w:r>
      <w:r w:rsidRPr="00AA340B">
        <w:rPr>
          <w:rFonts w:eastAsia="Times New Roman" w:cs="Times New Roman"/>
          <w:color w:val="000000"/>
          <w:lang w:eastAsia="da-DK"/>
        </w:rPr>
        <w:t xml:space="preserve"> kan ikke godkende et klinisk forsøg eller godkende et klinisk forsøg på visse betingelser, jf. stk. 1, hvis den videnskabsetiske lægemiddelkomité er uenig i den rapporterende medlemsstats konklusioner for så vidt angår del I af vurderingsrapporten af nogen af de i art</w:t>
      </w:r>
      <w:r w:rsidR="00522513">
        <w:rPr>
          <w:rFonts w:eastAsia="Times New Roman" w:cs="Times New Roman"/>
          <w:color w:val="000000"/>
          <w:lang w:eastAsia="da-DK"/>
        </w:rPr>
        <w:t>ikel</w:t>
      </w:r>
      <w:r w:rsidRPr="00AA340B">
        <w:rPr>
          <w:rFonts w:eastAsia="Times New Roman" w:cs="Times New Roman"/>
          <w:color w:val="000000"/>
          <w:lang w:eastAsia="da-DK"/>
        </w:rPr>
        <w:t xml:space="preserve"> 8, stk. 2, i </w:t>
      </w:r>
      <w:r w:rsidR="00294601">
        <w:rPr>
          <w:rFonts w:eastAsia="Times New Roman" w:cs="Times New Roman"/>
          <w:color w:val="000000"/>
          <w:lang w:eastAsia="da-DK"/>
        </w:rPr>
        <w:t>forordningen</w:t>
      </w:r>
      <w:r w:rsidRPr="00AA340B">
        <w:rPr>
          <w:rFonts w:eastAsia="Times New Roman" w:cs="Times New Roman"/>
          <w:color w:val="000000"/>
          <w:lang w:eastAsia="da-DK"/>
        </w:rPr>
        <w:t xml:space="preserve"> anførte grunde, eller komiteen af behørigt begrundede årsager finder, at aspekterne omfattet af del II af vurderingsrapporten ikke er overholdt, jf. art</w:t>
      </w:r>
      <w:r w:rsidR="00522513">
        <w:rPr>
          <w:rFonts w:eastAsia="Times New Roman" w:cs="Times New Roman"/>
          <w:color w:val="000000"/>
          <w:lang w:eastAsia="da-DK"/>
        </w:rPr>
        <w:t>ikel</w:t>
      </w:r>
      <w:r w:rsidRPr="00AA340B">
        <w:rPr>
          <w:rFonts w:eastAsia="Times New Roman" w:cs="Times New Roman"/>
          <w:color w:val="000000"/>
          <w:lang w:eastAsia="da-DK"/>
        </w:rPr>
        <w:t xml:space="preserve"> 8, stk. 4, i forordningen. </w:t>
      </w:r>
    </w:p>
    <w:p w14:paraId="29E82325" w14:textId="77777777" w:rsidR="00AA340B" w:rsidRPr="00AA340B" w:rsidRDefault="00AA340B" w:rsidP="00AA340B">
      <w:pPr>
        <w:rPr>
          <w:rFonts w:eastAsia="Times New Roman" w:cs="Times New Roman"/>
          <w:color w:val="000000"/>
          <w:lang w:eastAsia="da-DK"/>
        </w:rPr>
      </w:pPr>
    </w:p>
    <w:p w14:paraId="49991C05" w14:textId="77777777" w:rsidR="00AA340B" w:rsidRPr="00AA340B" w:rsidRDefault="00AA340B" w:rsidP="00AA340B">
      <w:pPr>
        <w:jc w:val="center"/>
        <w:rPr>
          <w:rFonts w:eastAsia="Times New Roman" w:cs="Times New Roman"/>
          <w:i/>
          <w:color w:val="000000"/>
          <w:lang w:eastAsia="da-DK"/>
        </w:rPr>
      </w:pPr>
      <w:r w:rsidRPr="00AA340B">
        <w:rPr>
          <w:rFonts w:eastAsia="Times New Roman" w:cs="Times New Roman"/>
          <w:i/>
          <w:color w:val="000000"/>
          <w:lang w:eastAsia="da-DK"/>
        </w:rPr>
        <w:t>Ansøgning om ændring af forsøg</w:t>
      </w:r>
    </w:p>
    <w:p w14:paraId="11D4B849" w14:textId="77777777" w:rsidR="00AA340B" w:rsidRPr="00AA340B" w:rsidRDefault="00AA340B" w:rsidP="00AA340B">
      <w:pPr>
        <w:rPr>
          <w:rFonts w:eastAsia="Times New Roman" w:cs="Times New Roman"/>
          <w:color w:val="000000"/>
          <w:lang w:eastAsia="da-DK"/>
        </w:rPr>
      </w:pPr>
    </w:p>
    <w:p w14:paraId="28AE76D4" w14:textId="77777777" w:rsidR="00AA340B" w:rsidRPr="00AA340B" w:rsidRDefault="00AA340B" w:rsidP="00AA340B">
      <w:pPr>
        <w:rPr>
          <w:rFonts w:eastAsia="Times New Roman" w:cs="Times New Roman"/>
          <w:color w:val="000000"/>
          <w:lang w:eastAsia="da-DK"/>
        </w:rPr>
      </w:pPr>
      <w:r w:rsidRPr="00AA340B">
        <w:rPr>
          <w:rFonts w:eastAsia="Times New Roman" w:cs="Times New Roman"/>
          <w:color w:val="000000"/>
          <w:lang w:eastAsia="da-DK"/>
        </w:rPr>
        <w:t xml:space="preserve"> </w:t>
      </w:r>
      <w:r w:rsidRPr="00AA340B">
        <w:rPr>
          <w:rFonts w:eastAsia="Times New Roman" w:cs="Times New Roman"/>
          <w:b/>
          <w:color w:val="000000"/>
          <w:lang w:eastAsia="da-DK"/>
        </w:rPr>
        <w:t>§</w:t>
      </w:r>
      <w:r w:rsidR="004C3545">
        <w:rPr>
          <w:rFonts w:eastAsia="Times New Roman" w:cs="Times New Roman"/>
          <w:b/>
          <w:color w:val="000000"/>
          <w:lang w:eastAsia="da-DK"/>
        </w:rPr>
        <w:t>11</w:t>
      </w:r>
      <w:r w:rsidRPr="00AA340B">
        <w:rPr>
          <w:rFonts w:eastAsia="Times New Roman" w:cs="Times New Roman"/>
          <w:b/>
          <w:color w:val="000000"/>
          <w:lang w:eastAsia="da-DK"/>
        </w:rPr>
        <w:t>.</w:t>
      </w:r>
      <w:r w:rsidRPr="00AA340B">
        <w:rPr>
          <w:rFonts w:eastAsia="Times New Roman" w:cs="Times New Roman"/>
          <w:color w:val="000000"/>
          <w:lang w:eastAsia="da-DK"/>
        </w:rPr>
        <w:t xml:space="preserve"> </w:t>
      </w:r>
      <w:r w:rsidR="0058651B">
        <w:rPr>
          <w:rFonts w:eastAsia="Times New Roman" w:cs="Times New Roman"/>
          <w:color w:val="000000"/>
          <w:lang w:eastAsia="da-DK"/>
        </w:rPr>
        <w:t>Lægemiddelstyrelsen</w:t>
      </w:r>
      <w:r w:rsidRPr="00AA340B">
        <w:rPr>
          <w:rFonts w:eastAsia="Times New Roman" w:cs="Times New Roman"/>
          <w:color w:val="000000"/>
          <w:lang w:eastAsia="da-DK"/>
        </w:rPr>
        <w:t xml:space="preserve"> afgør, om en væsentlig ændring af et forsøg kan godkendes, om ændringen kan godkendes på visse betingelser, eller om der gives afslag på godkendelse og meddeler afgørelsen i overensstemmelse med artikel 19, stk. 1, og artikel 23, stk. 1, i </w:t>
      </w:r>
      <w:r w:rsidR="00294601">
        <w:rPr>
          <w:rFonts w:eastAsia="Times New Roman" w:cs="Times New Roman"/>
          <w:color w:val="000000"/>
          <w:lang w:eastAsia="da-DK"/>
        </w:rPr>
        <w:t>forordningen</w:t>
      </w:r>
      <w:r w:rsidRPr="00AA340B">
        <w:rPr>
          <w:rFonts w:eastAsia="Times New Roman" w:cs="Times New Roman"/>
          <w:color w:val="000000"/>
          <w:lang w:eastAsia="da-DK"/>
        </w:rPr>
        <w:t xml:space="preserve">, jf. dog stk. </w:t>
      </w:r>
      <w:r w:rsidR="00004829">
        <w:rPr>
          <w:rFonts w:eastAsia="Times New Roman" w:cs="Times New Roman"/>
          <w:color w:val="000000"/>
          <w:lang w:eastAsia="da-DK"/>
        </w:rPr>
        <w:t>3</w:t>
      </w:r>
      <w:r w:rsidRPr="00AA340B">
        <w:rPr>
          <w:rFonts w:eastAsia="Times New Roman" w:cs="Times New Roman"/>
          <w:color w:val="000000"/>
          <w:lang w:eastAsia="da-DK"/>
        </w:rPr>
        <w:t xml:space="preserve">.  </w:t>
      </w:r>
    </w:p>
    <w:p w14:paraId="4811603B" w14:textId="77777777" w:rsidR="00AA340B" w:rsidRPr="00AA340B" w:rsidRDefault="00AA340B" w:rsidP="00AA340B">
      <w:pPr>
        <w:rPr>
          <w:rFonts w:eastAsia="Times New Roman" w:cs="Times New Roman"/>
          <w:color w:val="000000"/>
          <w:lang w:eastAsia="da-DK"/>
        </w:rPr>
      </w:pPr>
      <w:r w:rsidRPr="00AA340B">
        <w:rPr>
          <w:rFonts w:eastAsia="Times New Roman" w:cs="Times New Roman"/>
          <w:color w:val="000000"/>
          <w:lang w:eastAsia="da-DK"/>
        </w:rPr>
        <w:t xml:space="preserve">    </w:t>
      </w:r>
      <w:r w:rsidRPr="00AA340B">
        <w:rPr>
          <w:rFonts w:eastAsia="Times New Roman" w:cs="Times New Roman"/>
          <w:i/>
          <w:color w:val="000000"/>
          <w:lang w:eastAsia="da-DK"/>
        </w:rPr>
        <w:t>Stk. 2.</w:t>
      </w:r>
      <w:r w:rsidRPr="00AA340B">
        <w:rPr>
          <w:rFonts w:eastAsia="Times New Roman" w:cs="Times New Roman"/>
          <w:color w:val="000000"/>
          <w:lang w:eastAsia="da-DK"/>
        </w:rPr>
        <w:t xml:space="preserve"> Den videnskabsetiske lægemiddelkomité afgør om en væsentlig ændring af et forsøg godkendes, om det godkendes på visse betingelser, eller om der gives afslag på godkendelse, når ændringen alene vedrører et aspekt, som er omfattet af del II af vurderingsrapporten, og meddeler afgørelsen i overensstemmelse med artikel 20, stk. 5, i </w:t>
      </w:r>
      <w:r w:rsidR="00294601">
        <w:rPr>
          <w:rFonts w:eastAsia="Times New Roman" w:cs="Times New Roman"/>
          <w:color w:val="000000"/>
          <w:lang w:eastAsia="da-DK"/>
        </w:rPr>
        <w:t>forordningen</w:t>
      </w:r>
      <w:r w:rsidRPr="00AA340B">
        <w:rPr>
          <w:rFonts w:eastAsia="Times New Roman" w:cs="Times New Roman"/>
          <w:color w:val="000000"/>
          <w:lang w:eastAsia="da-DK"/>
        </w:rPr>
        <w:t xml:space="preserve">. </w:t>
      </w:r>
    </w:p>
    <w:p w14:paraId="5DA5A0A2" w14:textId="77777777" w:rsidR="00AA340B" w:rsidRPr="00AA340B" w:rsidRDefault="00AA340B" w:rsidP="00AA340B">
      <w:pPr>
        <w:rPr>
          <w:rFonts w:eastAsia="Times New Roman" w:cs="Times New Roman"/>
          <w:color w:val="000000"/>
          <w:lang w:eastAsia="da-DK"/>
        </w:rPr>
      </w:pPr>
      <w:r w:rsidRPr="00AA340B">
        <w:rPr>
          <w:rFonts w:eastAsia="Times New Roman" w:cs="Times New Roman"/>
          <w:color w:val="000000"/>
          <w:lang w:eastAsia="da-DK"/>
        </w:rPr>
        <w:t xml:space="preserve">   </w:t>
      </w:r>
      <w:r w:rsidRPr="00AA340B">
        <w:rPr>
          <w:rFonts w:eastAsia="Times New Roman" w:cs="Times New Roman"/>
          <w:i/>
          <w:color w:val="000000"/>
          <w:lang w:eastAsia="da-DK"/>
        </w:rPr>
        <w:t xml:space="preserve">Stk. 3. </w:t>
      </w:r>
      <w:r w:rsidR="0058651B">
        <w:rPr>
          <w:rFonts w:eastAsia="Times New Roman" w:cs="Times New Roman"/>
          <w:color w:val="000000"/>
          <w:lang w:eastAsia="da-DK"/>
        </w:rPr>
        <w:t>Lægemiddelstyrelsen</w:t>
      </w:r>
      <w:r w:rsidRPr="00AA340B">
        <w:rPr>
          <w:rFonts w:eastAsia="Times New Roman" w:cs="Times New Roman"/>
          <w:color w:val="000000"/>
          <w:lang w:eastAsia="da-DK"/>
        </w:rPr>
        <w:t xml:space="preserve"> kan ikke godkende en væsentlig ændring af et aspekt, der er omfattet af del I af vurderingsrapporten, eller godkende en væsentlig ændring på visse betingelser, jf. stk.</w:t>
      </w:r>
      <w:r w:rsidR="009851FE">
        <w:rPr>
          <w:rFonts w:eastAsia="Times New Roman" w:cs="Times New Roman"/>
          <w:color w:val="000000"/>
          <w:lang w:eastAsia="da-DK"/>
        </w:rPr>
        <w:t xml:space="preserve"> 1</w:t>
      </w:r>
      <w:r w:rsidRPr="00AA340B">
        <w:rPr>
          <w:rFonts w:eastAsia="Times New Roman" w:cs="Times New Roman"/>
          <w:color w:val="000000"/>
          <w:lang w:eastAsia="da-DK"/>
        </w:rPr>
        <w:t>, hvis den videnskabsetiske lægemiddelkomité er uenig i den rapporterende medlemsstats konklusioner for så vidt angår del I af vurderingsrapporten af nogen af de i art</w:t>
      </w:r>
      <w:r w:rsidR="00522513">
        <w:rPr>
          <w:rFonts w:eastAsia="Times New Roman" w:cs="Times New Roman"/>
          <w:color w:val="000000"/>
          <w:lang w:eastAsia="da-DK"/>
        </w:rPr>
        <w:t>ikel</w:t>
      </w:r>
      <w:r w:rsidRPr="00AA340B">
        <w:rPr>
          <w:rFonts w:eastAsia="Times New Roman" w:cs="Times New Roman"/>
          <w:color w:val="000000"/>
          <w:lang w:eastAsia="da-DK"/>
        </w:rPr>
        <w:t xml:space="preserve"> 19, stk. 2, i </w:t>
      </w:r>
      <w:r w:rsidR="00294601">
        <w:rPr>
          <w:rFonts w:eastAsia="Times New Roman" w:cs="Times New Roman"/>
          <w:color w:val="000000"/>
          <w:lang w:eastAsia="da-DK"/>
        </w:rPr>
        <w:t>forordningen</w:t>
      </w:r>
      <w:r w:rsidRPr="00AA340B">
        <w:rPr>
          <w:rFonts w:eastAsia="Times New Roman" w:cs="Times New Roman"/>
          <w:color w:val="000000"/>
          <w:lang w:eastAsia="da-DK"/>
        </w:rPr>
        <w:t xml:space="preserve"> anførte grunde. Tilsvarende kan </w:t>
      </w:r>
      <w:r w:rsidR="0058651B">
        <w:rPr>
          <w:rFonts w:eastAsia="Times New Roman" w:cs="Times New Roman"/>
          <w:color w:val="000000"/>
          <w:lang w:eastAsia="da-DK"/>
        </w:rPr>
        <w:t>Lægemiddelstyrelsen</w:t>
      </w:r>
      <w:r w:rsidRPr="00AA340B">
        <w:rPr>
          <w:rFonts w:eastAsia="Times New Roman" w:cs="Times New Roman"/>
          <w:color w:val="000000"/>
          <w:lang w:eastAsia="da-DK"/>
        </w:rPr>
        <w:t xml:space="preserve"> ikke godkende væsentlige ændringer af aspekter, der er omfattet af del I og del II af vurderingsrapporten, eller godkende væsentlige ændringer på visse betingelser, hvis den videnskabsetiske lægemiddelkomité er uenig i den rapporterende medlemsstats konklusioner for så vidt angår del I af vurderingsrapporten af nogen af de i art</w:t>
      </w:r>
      <w:r w:rsidR="00522513">
        <w:rPr>
          <w:rFonts w:eastAsia="Times New Roman" w:cs="Times New Roman"/>
          <w:color w:val="000000"/>
          <w:lang w:eastAsia="da-DK"/>
        </w:rPr>
        <w:t>ikel</w:t>
      </w:r>
      <w:r w:rsidRPr="00AA340B">
        <w:rPr>
          <w:rFonts w:eastAsia="Times New Roman" w:cs="Times New Roman"/>
          <w:color w:val="000000"/>
          <w:lang w:eastAsia="da-DK"/>
        </w:rPr>
        <w:t xml:space="preserve"> 23, stk. 2, i </w:t>
      </w:r>
      <w:r w:rsidR="00294601">
        <w:rPr>
          <w:rFonts w:eastAsia="Times New Roman" w:cs="Times New Roman"/>
          <w:color w:val="000000"/>
          <w:lang w:eastAsia="da-DK"/>
        </w:rPr>
        <w:t>forordningen</w:t>
      </w:r>
      <w:r w:rsidRPr="00AA340B">
        <w:rPr>
          <w:rFonts w:eastAsia="Times New Roman" w:cs="Times New Roman"/>
          <w:color w:val="000000"/>
          <w:lang w:eastAsia="da-DK"/>
        </w:rPr>
        <w:t xml:space="preserve"> anførte grunde, eller komiteen finder, at væsentlige aspekter, som er omfattet af del II af vurderingsrapporten, ikke er overholdt.</w:t>
      </w:r>
    </w:p>
    <w:p w14:paraId="36104197" w14:textId="77777777" w:rsidR="00AA340B" w:rsidRPr="00AA340B" w:rsidRDefault="00AA340B" w:rsidP="00AA340B">
      <w:pPr>
        <w:rPr>
          <w:rFonts w:eastAsia="Times New Roman" w:cs="Times New Roman"/>
          <w:i/>
          <w:color w:val="000000"/>
          <w:lang w:eastAsia="da-DK"/>
        </w:rPr>
      </w:pPr>
      <w:r w:rsidRPr="00AA340B">
        <w:rPr>
          <w:rFonts w:eastAsia="Times New Roman" w:cs="Times New Roman"/>
          <w:i/>
          <w:color w:val="000000"/>
          <w:lang w:eastAsia="da-DK"/>
        </w:rPr>
        <w:t xml:space="preserve">   </w:t>
      </w:r>
    </w:p>
    <w:p w14:paraId="28B1166C" w14:textId="77777777" w:rsidR="00AA340B" w:rsidRPr="00AA340B" w:rsidRDefault="00AA340B" w:rsidP="00AA340B">
      <w:pPr>
        <w:jc w:val="center"/>
        <w:rPr>
          <w:rFonts w:eastAsia="Times New Roman" w:cs="Times New Roman"/>
          <w:i/>
          <w:color w:val="000000"/>
          <w:lang w:eastAsia="da-DK"/>
        </w:rPr>
      </w:pPr>
      <w:r w:rsidRPr="00AA340B">
        <w:rPr>
          <w:rFonts w:eastAsia="Times New Roman" w:cs="Times New Roman"/>
          <w:i/>
          <w:color w:val="000000"/>
          <w:lang w:eastAsia="da-DK"/>
        </w:rPr>
        <w:t>Tilbagekaldelse og suspension af forsøg</w:t>
      </w:r>
    </w:p>
    <w:p w14:paraId="2CB5FB89" w14:textId="77777777" w:rsidR="00AA340B" w:rsidRPr="00AA340B" w:rsidRDefault="00AA340B" w:rsidP="00AA340B">
      <w:pPr>
        <w:rPr>
          <w:rFonts w:eastAsia="Times New Roman" w:cs="Times New Roman"/>
          <w:color w:val="000000"/>
          <w:lang w:eastAsia="da-DK"/>
        </w:rPr>
      </w:pPr>
    </w:p>
    <w:p w14:paraId="5C7F897D" w14:textId="77777777" w:rsidR="00713452" w:rsidRPr="00577043" w:rsidRDefault="00AA340B" w:rsidP="00713452">
      <w:pPr>
        <w:rPr>
          <w:rFonts w:eastAsia="Times New Roman" w:cs="Times New Roman"/>
          <w:color w:val="000000"/>
          <w:lang w:eastAsia="da-DK"/>
        </w:rPr>
      </w:pPr>
      <w:r w:rsidRPr="00AA340B">
        <w:rPr>
          <w:rFonts w:eastAsia="Times New Roman" w:cs="Times New Roman"/>
          <w:i/>
          <w:color w:val="000000"/>
          <w:lang w:eastAsia="da-DK"/>
        </w:rPr>
        <w:t xml:space="preserve">  </w:t>
      </w:r>
      <w:r w:rsidRPr="00AA340B">
        <w:rPr>
          <w:rFonts w:eastAsia="Times New Roman" w:cs="Times New Roman"/>
          <w:b/>
          <w:color w:val="000000"/>
          <w:lang w:eastAsia="da-DK"/>
        </w:rPr>
        <w:t xml:space="preserve">§ </w:t>
      </w:r>
      <w:r w:rsidR="00E34685">
        <w:rPr>
          <w:rFonts w:eastAsia="Times New Roman" w:cs="Times New Roman"/>
          <w:b/>
          <w:color w:val="000000"/>
          <w:lang w:eastAsia="da-DK"/>
        </w:rPr>
        <w:t>12</w:t>
      </w:r>
      <w:r w:rsidRPr="00AA340B">
        <w:rPr>
          <w:rFonts w:eastAsia="Times New Roman" w:cs="Times New Roman"/>
          <w:b/>
          <w:color w:val="000000"/>
          <w:lang w:eastAsia="da-DK"/>
        </w:rPr>
        <w:t>.</w:t>
      </w:r>
      <w:r w:rsidRPr="00AA340B">
        <w:rPr>
          <w:rFonts w:eastAsia="Times New Roman" w:cs="Times New Roman"/>
          <w:color w:val="000000"/>
          <w:lang w:eastAsia="da-DK"/>
        </w:rPr>
        <w:t xml:space="preserve"> </w:t>
      </w:r>
      <w:r w:rsidR="0058651B">
        <w:rPr>
          <w:rFonts w:eastAsia="Times New Roman" w:cs="Times New Roman"/>
          <w:color w:val="000000"/>
          <w:lang w:eastAsia="da-DK"/>
        </w:rPr>
        <w:t>Lægemiddelstyrelsen</w:t>
      </w:r>
      <w:r w:rsidRPr="00AA340B">
        <w:rPr>
          <w:rFonts w:eastAsia="Times New Roman" w:cs="Times New Roman"/>
          <w:color w:val="000000"/>
          <w:lang w:eastAsia="da-DK"/>
        </w:rPr>
        <w:t xml:space="preserve"> afgør, om godkendelsen af et klinisk forsøg skal tilbagekaldes, om det kliniske forsøg skal suspenderes, og </w:t>
      </w:r>
      <w:r w:rsidR="0058651B">
        <w:rPr>
          <w:rFonts w:eastAsia="Times New Roman" w:cs="Times New Roman"/>
          <w:color w:val="000000"/>
          <w:lang w:eastAsia="da-DK"/>
        </w:rPr>
        <w:t>Lægemiddelstyrelsen</w:t>
      </w:r>
      <w:r w:rsidRPr="00AA340B">
        <w:rPr>
          <w:rFonts w:eastAsia="Times New Roman" w:cs="Times New Roman"/>
          <w:color w:val="000000"/>
          <w:lang w:eastAsia="da-DK"/>
        </w:rPr>
        <w:t xml:space="preserve"> kan stille krav om, at sponsor ændrer et hvilket som helst aspekt af det kliniske forsøg, jf. artikel 77, stk. 1, i </w:t>
      </w:r>
      <w:r w:rsidR="00294601">
        <w:rPr>
          <w:rFonts w:eastAsia="Times New Roman" w:cs="Times New Roman"/>
          <w:color w:val="000000"/>
          <w:lang w:eastAsia="da-DK"/>
        </w:rPr>
        <w:t>forordningen</w:t>
      </w:r>
      <w:r w:rsidRPr="00AA340B">
        <w:rPr>
          <w:rFonts w:eastAsia="Times New Roman" w:cs="Times New Roman"/>
          <w:color w:val="000000"/>
          <w:lang w:eastAsia="da-DK"/>
        </w:rPr>
        <w:t xml:space="preserve">. </w:t>
      </w:r>
      <w:r w:rsidR="0058651B">
        <w:rPr>
          <w:rFonts w:eastAsia="Times New Roman" w:cs="Times New Roman"/>
          <w:color w:val="000000"/>
          <w:lang w:eastAsia="da-DK"/>
        </w:rPr>
        <w:t>Lægemiddelstyrelsen</w:t>
      </w:r>
      <w:r w:rsidRPr="00AA340B">
        <w:rPr>
          <w:rFonts w:eastAsia="Times New Roman" w:cs="Times New Roman"/>
          <w:color w:val="000000"/>
          <w:lang w:eastAsia="da-DK"/>
        </w:rPr>
        <w:t xml:space="preserve"> </w:t>
      </w:r>
      <w:r w:rsidR="00004829">
        <w:rPr>
          <w:rFonts w:eastAsia="Times New Roman" w:cs="Times New Roman"/>
          <w:color w:val="000000"/>
          <w:lang w:eastAsia="da-DK"/>
        </w:rPr>
        <w:t xml:space="preserve">kan </w:t>
      </w:r>
      <w:r w:rsidRPr="00AA340B">
        <w:rPr>
          <w:rFonts w:eastAsia="Times New Roman" w:cs="Times New Roman"/>
          <w:color w:val="000000"/>
          <w:lang w:eastAsia="da-DK"/>
        </w:rPr>
        <w:t>inddrage den videnskabsetiske komité i vurderingen af grundlaget for afgørelse</w:t>
      </w:r>
      <w:r w:rsidR="00713452">
        <w:rPr>
          <w:rFonts w:eastAsia="Times New Roman" w:cs="Times New Roman"/>
          <w:color w:val="000000"/>
          <w:lang w:eastAsia="da-DK"/>
        </w:rPr>
        <w:t>n</w:t>
      </w:r>
      <w:r w:rsidRPr="00AA340B">
        <w:rPr>
          <w:rFonts w:eastAsia="Times New Roman" w:cs="Times New Roman"/>
          <w:color w:val="000000"/>
          <w:lang w:eastAsia="da-DK"/>
        </w:rPr>
        <w:t>.</w:t>
      </w:r>
      <w:r w:rsidR="00713452">
        <w:rPr>
          <w:rFonts w:eastAsia="Times New Roman" w:cs="Times New Roman"/>
          <w:color w:val="000000"/>
          <w:lang w:eastAsia="da-DK"/>
        </w:rPr>
        <w:t xml:space="preserve"> Den videnskabsetiske komité kan anmode </w:t>
      </w:r>
      <w:r w:rsidR="0058651B">
        <w:rPr>
          <w:rFonts w:eastAsia="Times New Roman" w:cs="Times New Roman"/>
          <w:color w:val="000000"/>
          <w:lang w:eastAsia="da-DK"/>
        </w:rPr>
        <w:t>Lægemiddelstyrelsen</w:t>
      </w:r>
      <w:r w:rsidR="00713452">
        <w:rPr>
          <w:rFonts w:eastAsia="Times New Roman" w:cs="Times New Roman"/>
          <w:color w:val="000000"/>
          <w:lang w:eastAsia="da-DK"/>
        </w:rPr>
        <w:t xml:space="preserve"> om at overveje korrigerende foranstaltninger efter 1. pkt., såfremt komitéen finder det påkrævet.</w:t>
      </w:r>
      <w:r w:rsidR="00713452" w:rsidRPr="00577043">
        <w:rPr>
          <w:rFonts w:eastAsia="Times New Roman" w:cs="Times New Roman"/>
          <w:color w:val="000000"/>
          <w:lang w:eastAsia="da-DK"/>
        </w:rPr>
        <w:t xml:space="preserve"> </w:t>
      </w:r>
    </w:p>
    <w:p w14:paraId="23CA6EA2" w14:textId="77777777" w:rsidR="00AA340B" w:rsidRPr="00AA340B" w:rsidRDefault="00AA340B" w:rsidP="00AA340B">
      <w:pPr>
        <w:rPr>
          <w:rFonts w:eastAsia="Times New Roman" w:cs="Times New Roman"/>
          <w:color w:val="000000"/>
          <w:lang w:eastAsia="da-DK"/>
        </w:rPr>
      </w:pPr>
      <w:r w:rsidRPr="00AA340B">
        <w:rPr>
          <w:rFonts w:eastAsia="Times New Roman" w:cs="Times New Roman"/>
          <w:color w:val="000000"/>
          <w:lang w:eastAsia="da-DK"/>
        </w:rPr>
        <w:t xml:space="preserve"> </w:t>
      </w:r>
    </w:p>
    <w:p w14:paraId="2802F7BF" w14:textId="77777777" w:rsidR="00AA340B" w:rsidRPr="00AA340B" w:rsidRDefault="00AA340B" w:rsidP="00AA340B">
      <w:pPr>
        <w:rPr>
          <w:rFonts w:eastAsia="Times New Roman" w:cs="Times New Roman"/>
          <w:color w:val="000000"/>
          <w:lang w:eastAsia="da-DK"/>
        </w:rPr>
      </w:pPr>
      <w:r w:rsidRPr="00AA340B">
        <w:rPr>
          <w:rFonts w:eastAsia="Times New Roman" w:cs="Times New Roman"/>
          <w:color w:val="000000"/>
          <w:lang w:eastAsia="da-DK"/>
        </w:rPr>
        <w:t xml:space="preserve">   </w:t>
      </w:r>
    </w:p>
    <w:p w14:paraId="14E72B63" w14:textId="77777777" w:rsidR="00AA340B" w:rsidRPr="00AA340B" w:rsidRDefault="00AA340B" w:rsidP="00AA340B">
      <w:pPr>
        <w:jc w:val="center"/>
        <w:rPr>
          <w:rFonts w:eastAsia="Times New Roman" w:cs="Times New Roman"/>
          <w:i/>
          <w:color w:val="000000"/>
          <w:lang w:eastAsia="da-DK"/>
        </w:rPr>
      </w:pPr>
      <w:r w:rsidRPr="00AA340B">
        <w:rPr>
          <w:rFonts w:eastAsia="Times New Roman" w:cs="Times New Roman"/>
          <w:i/>
          <w:color w:val="000000"/>
          <w:lang w:eastAsia="da-DK"/>
        </w:rPr>
        <w:t>Kompetence til at fastsætte nærmere regler om forsøg</w:t>
      </w:r>
    </w:p>
    <w:p w14:paraId="03783602" w14:textId="77777777" w:rsidR="00AA340B" w:rsidRPr="00AA340B" w:rsidRDefault="00AA340B" w:rsidP="00AA340B">
      <w:pPr>
        <w:rPr>
          <w:rFonts w:eastAsia="Times New Roman" w:cs="Times New Roman"/>
          <w:color w:val="000000"/>
          <w:lang w:eastAsia="da-DK"/>
        </w:rPr>
      </w:pPr>
    </w:p>
    <w:p w14:paraId="35BC9151" w14:textId="77777777" w:rsidR="00AA340B" w:rsidRPr="00AA340B" w:rsidRDefault="00AA340B" w:rsidP="00AA340B">
      <w:pPr>
        <w:rPr>
          <w:rFonts w:eastAsia="Times New Roman" w:cs="Times New Roman"/>
          <w:i/>
          <w:color w:val="000000"/>
          <w:lang w:eastAsia="da-DK"/>
        </w:rPr>
      </w:pPr>
      <w:r w:rsidRPr="00AA340B">
        <w:rPr>
          <w:rFonts w:eastAsia="Times New Roman" w:cs="Times New Roman"/>
          <w:i/>
          <w:color w:val="000000"/>
          <w:lang w:eastAsia="da-DK"/>
        </w:rPr>
        <w:t xml:space="preserve">   </w:t>
      </w:r>
      <w:r w:rsidRPr="00AA340B">
        <w:rPr>
          <w:rFonts w:eastAsia="Times New Roman" w:cs="Times New Roman"/>
          <w:b/>
          <w:color w:val="000000"/>
          <w:lang w:eastAsia="da-DK"/>
        </w:rPr>
        <w:t xml:space="preserve">§ </w:t>
      </w:r>
      <w:r w:rsidR="00E34685">
        <w:rPr>
          <w:rFonts w:eastAsia="Times New Roman" w:cs="Times New Roman"/>
          <w:b/>
          <w:color w:val="000000"/>
          <w:lang w:eastAsia="da-DK"/>
        </w:rPr>
        <w:t>13</w:t>
      </w:r>
      <w:r w:rsidRPr="00AA340B">
        <w:rPr>
          <w:rFonts w:eastAsia="Times New Roman" w:cs="Times New Roman"/>
          <w:b/>
          <w:color w:val="000000"/>
          <w:lang w:eastAsia="da-DK"/>
        </w:rPr>
        <w:t xml:space="preserve">. </w:t>
      </w:r>
      <w:r w:rsidRPr="00AA340B">
        <w:rPr>
          <w:rFonts w:eastAsia="Times New Roman" w:cs="Times New Roman"/>
          <w:color w:val="000000"/>
          <w:lang w:eastAsia="da-DK"/>
        </w:rPr>
        <w:t xml:space="preserve">Sundheds- og ældreministeren fastsætter nærmere regler om, hvilke aspekter af vurderingsrapportens del I, som også skal vurderes af den videnskabsetiske lægemiddelkomité. </w:t>
      </w:r>
    </w:p>
    <w:p w14:paraId="1E1F98CF" w14:textId="77777777" w:rsidR="00AA340B" w:rsidRPr="00AA340B" w:rsidRDefault="00AA340B" w:rsidP="00AA340B">
      <w:pPr>
        <w:rPr>
          <w:rFonts w:eastAsia="Times New Roman" w:cs="Times New Roman"/>
          <w:color w:val="000000"/>
          <w:lang w:eastAsia="da-DK"/>
        </w:rPr>
      </w:pPr>
      <w:r w:rsidRPr="00AA340B">
        <w:rPr>
          <w:rFonts w:eastAsia="Times New Roman" w:cs="Times New Roman"/>
          <w:i/>
          <w:color w:val="000000"/>
          <w:lang w:eastAsia="da-DK"/>
        </w:rPr>
        <w:t xml:space="preserve">   Stk. 2. </w:t>
      </w:r>
      <w:r w:rsidRPr="00AA340B">
        <w:rPr>
          <w:rFonts w:eastAsia="Times New Roman" w:cs="Times New Roman"/>
          <w:color w:val="000000"/>
          <w:lang w:eastAsia="da-DK"/>
        </w:rPr>
        <w:t xml:space="preserve">Sundheds- og ældreministeren fastsætter nærmere regler om </w:t>
      </w:r>
      <w:r w:rsidR="0058651B">
        <w:rPr>
          <w:rFonts w:eastAsia="Times New Roman" w:cs="Times New Roman"/>
          <w:color w:val="000000"/>
          <w:lang w:eastAsia="da-DK"/>
        </w:rPr>
        <w:t>Lægemiddelstyrelsen</w:t>
      </w:r>
      <w:r w:rsidRPr="00AA340B">
        <w:rPr>
          <w:rFonts w:eastAsia="Times New Roman" w:cs="Times New Roman"/>
          <w:color w:val="000000"/>
          <w:lang w:eastAsia="da-DK"/>
        </w:rPr>
        <w:t xml:space="preserve">s og den videnskabsetiske lægemiddelkomités behandling af ansøgninger om kliniske forsøg og opfølgningen på godkendte kliniske forsøg. </w:t>
      </w:r>
    </w:p>
    <w:p w14:paraId="3D360282" w14:textId="77777777" w:rsidR="00AA340B" w:rsidRPr="00577043" w:rsidRDefault="00AA340B" w:rsidP="00536D34">
      <w:pPr>
        <w:rPr>
          <w:rFonts w:eastAsia="Times New Roman" w:cs="Times New Roman"/>
          <w:color w:val="000000"/>
          <w:lang w:eastAsia="da-DK"/>
        </w:rPr>
      </w:pPr>
    </w:p>
    <w:p w14:paraId="5C0B0FBD" w14:textId="77777777" w:rsidR="00392B8B" w:rsidRPr="00577043" w:rsidRDefault="00392B8B" w:rsidP="00CB2276">
      <w:pPr>
        <w:jc w:val="center"/>
        <w:rPr>
          <w:rFonts w:eastAsia="Times New Roman" w:cs="Times New Roman"/>
          <w:color w:val="000000"/>
          <w:lang w:eastAsia="da-DK"/>
        </w:rPr>
      </w:pPr>
    </w:p>
    <w:p w14:paraId="2F67AFAF" w14:textId="77777777" w:rsidR="00A56496" w:rsidRPr="00577043" w:rsidRDefault="00A56496" w:rsidP="00CB2276">
      <w:pPr>
        <w:pStyle w:val="Overskrift2"/>
        <w:rPr>
          <w:rFonts w:eastAsia="Times New Roman" w:cs="Times New Roman"/>
          <w:b w:val="0"/>
          <w:i/>
          <w:lang w:eastAsia="da-DK"/>
        </w:rPr>
      </w:pPr>
      <w:r w:rsidRPr="00577043">
        <w:rPr>
          <w:rFonts w:eastAsia="Times New Roman" w:cs="Times New Roman"/>
          <w:b w:val="0"/>
          <w:i/>
          <w:lang w:eastAsia="da-DK"/>
        </w:rPr>
        <w:t>Sprog</w:t>
      </w:r>
      <w:r w:rsidR="00F6750B" w:rsidRPr="00577043">
        <w:rPr>
          <w:rFonts w:eastAsia="Times New Roman" w:cs="Times New Roman"/>
          <w:b w:val="0"/>
          <w:i/>
          <w:lang w:eastAsia="da-DK"/>
        </w:rPr>
        <w:t>k</w:t>
      </w:r>
      <w:r w:rsidRPr="00577043">
        <w:rPr>
          <w:rFonts w:eastAsia="Times New Roman" w:cs="Times New Roman"/>
          <w:b w:val="0"/>
          <w:i/>
          <w:lang w:eastAsia="da-DK"/>
        </w:rPr>
        <w:t>rav til ansøgning</w:t>
      </w:r>
    </w:p>
    <w:p w14:paraId="37CBA73D" w14:textId="77777777" w:rsidR="00A56496" w:rsidRPr="00577043" w:rsidRDefault="00A56496" w:rsidP="00CB2276">
      <w:pPr>
        <w:rPr>
          <w:rFonts w:eastAsia="Times New Roman" w:cs="Times New Roman"/>
          <w:color w:val="000000"/>
          <w:lang w:eastAsia="da-DK"/>
        </w:rPr>
      </w:pPr>
    </w:p>
    <w:p w14:paraId="1ADBA0C2" w14:textId="77777777" w:rsidR="00A56496" w:rsidRPr="00577043" w:rsidRDefault="00CE0897" w:rsidP="00CB2276">
      <w:pPr>
        <w:rPr>
          <w:rFonts w:eastAsia="Times New Roman" w:cs="Times New Roman"/>
          <w:color w:val="000000"/>
          <w:lang w:eastAsia="da-DK"/>
        </w:rPr>
      </w:pPr>
      <w:r w:rsidRPr="00577043">
        <w:rPr>
          <w:rFonts w:eastAsia="Times New Roman" w:cs="Times New Roman"/>
          <w:b/>
          <w:color w:val="000000"/>
          <w:lang w:eastAsia="da-DK"/>
        </w:rPr>
        <w:t xml:space="preserve">   </w:t>
      </w:r>
      <w:r w:rsidR="004C210C" w:rsidRPr="00577043">
        <w:rPr>
          <w:rFonts w:eastAsia="Times New Roman" w:cs="Times New Roman"/>
          <w:b/>
          <w:color w:val="000000"/>
          <w:lang w:eastAsia="da-DK"/>
        </w:rPr>
        <w:t xml:space="preserve">§ </w:t>
      </w:r>
      <w:r w:rsidR="00E34685">
        <w:rPr>
          <w:rFonts w:eastAsia="Times New Roman" w:cs="Times New Roman"/>
          <w:b/>
          <w:color w:val="000000"/>
          <w:lang w:eastAsia="da-DK"/>
        </w:rPr>
        <w:t>14</w:t>
      </w:r>
      <w:r w:rsidR="00A56496" w:rsidRPr="00577043">
        <w:rPr>
          <w:rFonts w:eastAsia="Times New Roman" w:cs="Times New Roman"/>
          <w:color w:val="000000"/>
          <w:lang w:eastAsia="da-DK"/>
        </w:rPr>
        <w:t xml:space="preserve">. </w:t>
      </w:r>
      <w:r w:rsidR="00A22EAD" w:rsidRPr="00577043">
        <w:rPr>
          <w:rFonts w:eastAsia="Times New Roman" w:cs="Times New Roman"/>
          <w:color w:val="000000"/>
          <w:lang w:eastAsia="da-DK"/>
        </w:rPr>
        <w:t>Sundheds- og ældreministeren</w:t>
      </w:r>
      <w:r w:rsidR="00A56496" w:rsidRPr="00577043">
        <w:rPr>
          <w:rFonts w:eastAsia="Times New Roman" w:cs="Times New Roman"/>
          <w:color w:val="000000"/>
          <w:lang w:eastAsia="da-DK"/>
        </w:rPr>
        <w:t xml:space="preserve"> fastsætter krav til sprog i ansøgningsdossier. </w:t>
      </w:r>
    </w:p>
    <w:p w14:paraId="76B304E5" w14:textId="77777777" w:rsidR="008A233D" w:rsidRPr="00577043" w:rsidRDefault="008A233D" w:rsidP="00CB2276">
      <w:pPr>
        <w:jc w:val="center"/>
        <w:rPr>
          <w:rFonts w:eastAsia="Times New Roman" w:cs="Times New Roman"/>
          <w:color w:val="000000"/>
          <w:lang w:eastAsia="da-DK"/>
        </w:rPr>
      </w:pPr>
    </w:p>
    <w:p w14:paraId="4CCFBDE7" w14:textId="77777777" w:rsidR="00A56496" w:rsidRPr="00577043" w:rsidRDefault="00A56496" w:rsidP="00CB2276">
      <w:pPr>
        <w:jc w:val="center"/>
        <w:rPr>
          <w:rFonts w:eastAsia="Times New Roman" w:cs="Times New Roman"/>
          <w:color w:val="000000"/>
          <w:lang w:eastAsia="da-DK"/>
        </w:rPr>
      </w:pPr>
    </w:p>
    <w:p w14:paraId="58B5125F" w14:textId="77777777" w:rsidR="00BE55CD" w:rsidRPr="00577043" w:rsidRDefault="00BE55CD" w:rsidP="00CB2276">
      <w:pPr>
        <w:rPr>
          <w:rFonts w:eastAsia="Times New Roman" w:cs="Times New Roman"/>
          <w:color w:val="000000"/>
          <w:lang w:eastAsia="da-DK"/>
        </w:rPr>
      </w:pPr>
    </w:p>
    <w:p w14:paraId="358E9CFB" w14:textId="77777777" w:rsidR="00D010EE" w:rsidRPr="00577043" w:rsidRDefault="004743BD" w:rsidP="0056400E">
      <w:pPr>
        <w:keepNext/>
        <w:keepLines/>
        <w:jc w:val="center"/>
        <w:rPr>
          <w:rFonts w:eastAsia="Times New Roman" w:cs="Times New Roman"/>
          <w:color w:val="000000"/>
          <w:lang w:eastAsia="da-DK"/>
        </w:rPr>
      </w:pPr>
      <w:r w:rsidRPr="00577043">
        <w:rPr>
          <w:rFonts w:eastAsia="Times New Roman" w:cs="Times New Roman"/>
          <w:color w:val="000000"/>
          <w:lang w:eastAsia="da-DK"/>
        </w:rPr>
        <w:t>Kapitel 5</w:t>
      </w:r>
    </w:p>
    <w:p w14:paraId="3B291430" w14:textId="77777777" w:rsidR="00043076" w:rsidRPr="00577043" w:rsidRDefault="00043076" w:rsidP="00AA30A3">
      <w:pPr>
        <w:rPr>
          <w:rFonts w:eastAsia="Times New Roman" w:cs="Times New Roman"/>
          <w:color w:val="000000"/>
          <w:lang w:eastAsia="da-DK"/>
        </w:rPr>
      </w:pPr>
    </w:p>
    <w:p w14:paraId="31F84876" w14:textId="77777777" w:rsidR="00AA30A3" w:rsidRPr="00577043" w:rsidRDefault="00AA30A3" w:rsidP="00AA30A3"/>
    <w:p w14:paraId="1D00943C" w14:textId="77777777" w:rsidR="00043076" w:rsidRDefault="002E0C4B" w:rsidP="00043076">
      <w:pPr>
        <w:jc w:val="center"/>
        <w:rPr>
          <w:rFonts w:eastAsia="Times New Roman" w:cs="Times New Roman"/>
          <w:i/>
          <w:color w:val="000000"/>
          <w:lang w:eastAsia="da-DK"/>
        </w:rPr>
      </w:pPr>
      <w:r>
        <w:rPr>
          <w:rFonts w:eastAsia="Times New Roman" w:cs="Times New Roman"/>
          <w:i/>
          <w:color w:val="000000"/>
          <w:lang w:eastAsia="da-DK"/>
        </w:rPr>
        <w:t>Kontrol og i</w:t>
      </w:r>
      <w:r w:rsidR="00043076">
        <w:rPr>
          <w:rFonts w:eastAsia="Times New Roman" w:cs="Times New Roman"/>
          <w:i/>
          <w:color w:val="000000"/>
          <w:lang w:eastAsia="da-DK"/>
        </w:rPr>
        <w:t>nspektion</w:t>
      </w:r>
    </w:p>
    <w:p w14:paraId="3A439292" w14:textId="77777777" w:rsidR="00043076" w:rsidRDefault="00043076" w:rsidP="00043076">
      <w:pPr>
        <w:jc w:val="center"/>
        <w:rPr>
          <w:rFonts w:eastAsia="Times New Roman" w:cs="Times New Roman"/>
          <w:i/>
          <w:color w:val="000000"/>
          <w:lang w:eastAsia="da-DK"/>
        </w:rPr>
      </w:pPr>
    </w:p>
    <w:p w14:paraId="4D5ABD89" w14:textId="77777777" w:rsidR="00043076" w:rsidRDefault="00043076" w:rsidP="00EB5BC3">
      <w:pPr>
        <w:rPr>
          <w:rFonts w:eastAsia="Times New Roman" w:cs="Times New Roman"/>
          <w:i/>
          <w:iCs/>
          <w:color w:val="000000"/>
          <w:lang w:eastAsia="da-DK"/>
        </w:rPr>
      </w:pPr>
      <w:r>
        <w:rPr>
          <w:rFonts w:eastAsia="Times New Roman" w:cs="Times New Roman"/>
          <w:b/>
          <w:color w:val="000000"/>
          <w:lang w:eastAsia="da-DK"/>
        </w:rPr>
        <w:t xml:space="preserve">   </w:t>
      </w:r>
    </w:p>
    <w:p w14:paraId="2D260A16" w14:textId="77777777" w:rsidR="00043076" w:rsidRPr="00D262AD" w:rsidRDefault="00043076" w:rsidP="00043076">
      <w:pPr>
        <w:jc w:val="center"/>
        <w:rPr>
          <w:i/>
          <w:lang w:eastAsia="da-DK"/>
        </w:rPr>
      </w:pPr>
      <w:r>
        <w:rPr>
          <w:rFonts w:eastAsia="Times New Roman" w:cs="Times New Roman"/>
          <w:i/>
          <w:iCs/>
          <w:color w:val="000000"/>
          <w:lang w:eastAsia="da-DK"/>
        </w:rPr>
        <w:t>K</w:t>
      </w:r>
      <w:r w:rsidRPr="00D262AD">
        <w:rPr>
          <w:rFonts w:eastAsia="Times New Roman" w:cs="Times New Roman"/>
          <w:i/>
          <w:iCs/>
          <w:color w:val="000000"/>
          <w:lang w:eastAsia="da-DK"/>
        </w:rPr>
        <w:t xml:space="preserve">ontrol med </w:t>
      </w:r>
      <w:r>
        <w:rPr>
          <w:rFonts w:eastAsia="Times New Roman" w:cs="Times New Roman"/>
          <w:i/>
          <w:iCs/>
          <w:color w:val="000000"/>
          <w:lang w:eastAsia="da-DK"/>
        </w:rPr>
        <w:t xml:space="preserve">indberetninger </w:t>
      </w:r>
      <w:r w:rsidR="008647A7">
        <w:rPr>
          <w:rFonts w:eastAsia="Times New Roman" w:cs="Times New Roman"/>
          <w:i/>
          <w:iCs/>
          <w:color w:val="000000"/>
          <w:lang w:eastAsia="da-DK"/>
        </w:rPr>
        <w:t>om</w:t>
      </w:r>
      <w:r>
        <w:rPr>
          <w:rFonts w:eastAsia="Times New Roman" w:cs="Times New Roman"/>
          <w:i/>
          <w:iCs/>
          <w:color w:val="000000"/>
          <w:lang w:eastAsia="da-DK"/>
        </w:rPr>
        <w:t xml:space="preserve"> påbegyndelse af forsøg m</w:t>
      </w:r>
      <w:r w:rsidR="00094421">
        <w:rPr>
          <w:rFonts w:eastAsia="Times New Roman" w:cs="Times New Roman"/>
          <w:i/>
          <w:iCs/>
          <w:color w:val="000000"/>
          <w:lang w:eastAsia="da-DK"/>
        </w:rPr>
        <w:t>.</w:t>
      </w:r>
      <w:r>
        <w:rPr>
          <w:rFonts w:eastAsia="Times New Roman" w:cs="Times New Roman"/>
          <w:i/>
          <w:iCs/>
          <w:color w:val="000000"/>
          <w:lang w:eastAsia="da-DK"/>
        </w:rPr>
        <w:t>v.</w:t>
      </w:r>
    </w:p>
    <w:p w14:paraId="275DB540" w14:textId="77777777" w:rsidR="00043076" w:rsidRPr="001A14C0" w:rsidRDefault="00043076" w:rsidP="00043076">
      <w:pPr>
        <w:rPr>
          <w:lang w:eastAsia="da-DK"/>
        </w:rPr>
      </w:pPr>
    </w:p>
    <w:p w14:paraId="50FF281F" w14:textId="77777777" w:rsidR="00043076" w:rsidRDefault="00043076" w:rsidP="00043076">
      <w:pPr>
        <w:rPr>
          <w:rFonts w:eastAsia="Times New Roman" w:cs="Times New Roman"/>
          <w:color w:val="000000"/>
          <w:lang w:eastAsia="da-DK"/>
        </w:rPr>
      </w:pPr>
      <w:r>
        <w:rPr>
          <w:rFonts w:eastAsia="Times New Roman" w:cs="Times New Roman"/>
          <w:color w:val="000000"/>
          <w:lang w:eastAsia="da-DK"/>
        </w:rPr>
        <w:t xml:space="preserve">   </w:t>
      </w:r>
      <w:r>
        <w:rPr>
          <w:rFonts w:eastAsia="Times New Roman" w:cs="Times New Roman"/>
          <w:b/>
          <w:color w:val="000000"/>
          <w:lang w:eastAsia="da-DK"/>
        </w:rPr>
        <w:t xml:space="preserve">§ </w:t>
      </w:r>
      <w:r w:rsidR="00E34685">
        <w:rPr>
          <w:rFonts w:eastAsia="Times New Roman" w:cs="Times New Roman"/>
          <w:b/>
          <w:color w:val="000000"/>
          <w:lang w:eastAsia="da-DK"/>
        </w:rPr>
        <w:t>15</w:t>
      </w:r>
      <w:r>
        <w:rPr>
          <w:rFonts w:eastAsia="Times New Roman" w:cs="Times New Roman"/>
          <w:b/>
          <w:color w:val="000000"/>
          <w:lang w:eastAsia="da-DK"/>
        </w:rPr>
        <w:t xml:space="preserve"> </w:t>
      </w:r>
      <w:r>
        <w:rPr>
          <w:rFonts w:eastAsia="Times New Roman" w:cs="Times New Roman"/>
          <w:color w:val="000000"/>
          <w:lang w:eastAsia="da-DK"/>
        </w:rPr>
        <w:t>Lægemiddelstyrelsen fører kontrol med, at forpligtelserne i forordningens artikel 36 og 37</w:t>
      </w:r>
      <w:r w:rsidR="00DE2590">
        <w:rPr>
          <w:rFonts w:eastAsia="Times New Roman" w:cs="Times New Roman"/>
          <w:color w:val="000000"/>
          <w:lang w:eastAsia="da-DK"/>
        </w:rPr>
        <w:t xml:space="preserve"> </w:t>
      </w:r>
      <w:r>
        <w:rPr>
          <w:rFonts w:eastAsia="Times New Roman" w:cs="Times New Roman"/>
          <w:color w:val="000000"/>
          <w:lang w:eastAsia="da-DK"/>
        </w:rPr>
        <w:t>overholdes.</w:t>
      </w:r>
    </w:p>
    <w:p w14:paraId="67B31F3A" w14:textId="77777777" w:rsidR="00043076" w:rsidRPr="00577043" w:rsidRDefault="00043076" w:rsidP="00043076">
      <w:pPr>
        <w:rPr>
          <w:rFonts w:eastAsia="Times New Roman" w:cs="Times New Roman"/>
          <w:color w:val="000000"/>
          <w:lang w:eastAsia="da-DK"/>
        </w:rPr>
      </w:pPr>
      <w:r>
        <w:rPr>
          <w:rFonts w:eastAsia="Times New Roman" w:cs="Times New Roman"/>
          <w:color w:val="000000"/>
          <w:lang w:eastAsia="da-DK"/>
        </w:rPr>
        <w:t xml:space="preserve">   </w:t>
      </w:r>
      <w:r>
        <w:rPr>
          <w:rFonts w:eastAsia="Times New Roman" w:cs="Times New Roman"/>
          <w:i/>
          <w:color w:val="000000"/>
          <w:lang w:eastAsia="da-DK"/>
        </w:rPr>
        <w:t>Stk. 2</w:t>
      </w:r>
      <w:r w:rsidRPr="002114AD">
        <w:rPr>
          <w:rFonts w:eastAsia="Times New Roman" w:cs="Times New Roman"/>
          <w:i/>
          <w:color w:val="000000"/>
          <w:lang w:eastAsia="da-DK"/>
        </w:rPr>
        <w:t>.</w:t>
      </w:r>
      <w:r>
        <w:rPr>
          <w:rFonts w:eastAsia="Times New Roman" w:cs="Times New Roman"/>
          <w:color w:val="000000"/>
          <w:lang w:eastAsia="da-DK"/>
        </w:rPr>
        <w:t xml:space="preserve"> </w:t>
      </w:r>
      <w:r w:rsidRPr="00577043">
        <w:rPr>
          <w:rFonts w:eastAsia="Times New Roman" w:cs="Times New Roman"/>
          <w:color w:val="000000"/>
          <w:lang w:eastAsia="da-DK"/>
        </w:rPr>
        <w:t xml:space="preserve">Sundheds- og ældreministeren </w:t>
      </w:r>
      <w:r>
        <w:rPr>
          <w:rFonts w:eastAsia="Times New Roman" w:cs="Times New Roman"/>
          <w:color w:val="000000"/>
          <w:lang w:eastAsia="da-DK"/>
        </w:rPr>
        <w:t xml:space="preserve">kan </w:t>
      </w:r>
      <w:r w:rsidRPr="00577043">
        <w:rPr>
          <w:rFonts w:eastAsia="Times New Roman" w:cs="Times New Roman"/>
          <w:color w:val="000000"/>
          <w:lang w:eastAsia="da-DK"/>
        </w:rPr>
        <w:t>fastsætte</w:t>
      </w:r>
      <w:r>
        <w:rPr>
          <w:rFonts w:eastAsia="Times New Roman" w:cs="Times New Roman"/>
          <w:color w:val="000000"/>
          <w:lang w:eastAsia="da-DK"/>
        </w:rPr>
        <w:t xml:space="preserve"> nærmere regler om, hvilke andre underretningsforpligtelser Lægemiddelstyrelsen eller den videnskabsetiske lægemiddelkomité skal sikre overholdelse af, jf. stk. 1.</w:t>
      </w:r>
    </w:p>
    <w:p w14:paraId="5DC1D879" w14:textId="77777777" w:rsidR="00043076" w:rsidRDefault="00043076" w:rsidP="00043076">
      <w:pPr>
        <w:rPr>
          <w:rFonts w:eastAsia="Times New Roman" w:cs="Times New Roman"/>
          <w:color w:val="000000"/>
          <w:lang w:eastAsia="da-DK"/>
        </w:rPr>
      </w:pPr>
    </w:p>
    <w:p w14:paraId="709A8314" w14:textId="77777777" w:rsidR="00043076" w:rsidRDefault="00043076" w:rsidP="00043076">
      <w:pPr>
        <w:jc w:val="center"/>
        <w:rPr>
          <w:rFonts w:eastAsia="Times New Roman" w:cs="Times New Roman"/>
          <w:i/>
          <w:color w:val="000000"/>
          <w:lang w:eastAsia="da-DK"/>
        </w:rPr>
      </w:pPr>
    </w:p>
    <w:p w14:paraId="72A39065" w14:textId="77777777" w:rsidR="00043076" w:rsidRPr="00D262AD" w:rsidRDefault="00043076" w:rsidP="00043076">
      <w:pPr>
        <w:jc w:val="center"/>
        <w:rPr>
          <w:rFonts w:eastAsia="Times New Roman" w:cs="Times New Roman"/>
          <w:i/>
          <w:color w:val="000000"/>
          <w:lang w:eastAsia="da-DK"/>
        </w:rPr>
      </w:pPr>
      <w:r>
        <w:rPr>
          <w:rFonts w:eastAsia="Times New Roman" w:cs="Times New Roman"/>
          <w:i/>
          <w:color w:val="000000"/>
          <w:lang w:eastAsia="da-DK"/>
        </w:rPr>
        <w:t>Overvågning af forsøg (sikkerhedsindberetninger)</w:t>
      </w:r>
    </w:p>
    <w:p w14:paraId="07E775E5" w14:textId="77777777" w:rsidR="00043076" w:rsidRDefault="00043076" w:rsidP="00043076">
      <w:pPr>
        <w:rPr>
          <w:rFonts w:eastAsia="Times New Roman" w:cs="Times New Roman"/>
          <w:color w:val="000000"/>
          <w:lang w:eastAsia="da-DK"/>
        </w:rPr>
      </w:pPr>
    </w:p>
    <w:p w14:paraId="55A287C4" w14:textId="77777777" w:rsidR="00043076" w:rsidRDefault="00043076" w:rsidP="00043076">
      <w:pPr>
        <w:rPr>
          <w:rFonts w:eastAsia="Times New Roman" w:cs="Times New Roman"/>
          <w:color w:val="000000"/>
          <w:lang w:eastAsia="da-DK"/>
        </w:rPr>
      </w:pPr>
      <w:r>
        <w:rPr>
          <w:rFonts w:eastAsia="Times New Roman" w:cs="Times New Roman"/>
          <w:b/>
          <w:color w:val="000000"/>
          <w:lang w:eastAsia="da-DK"/>
        </w:rPr>
        <w:t xml:space="preserve">   § </w:t>
      </w:r>
      <w:r w:rsidR="00E34685">
        <w:rPr>
          <w:rFonts w:eastAsia="Times New Roman" w:cs="Times New Roman"/>
          <w:b/>
          <w:color w:val="000000"/>
          <w:lang w:eastAsia="da-DK"/>
        </w:rPr>
        <w:t>16</w:t>
      </w:r>
      <w:r>
        <w:rPr>
          <w:rFonts w:eastAsia="Times New Roman" w:cs="Times New Roman"/>
          <w:i/>
          <w:color w:val="000000"/>
          <w:lang w:eastAsia="da-DK"/>
        </w:rPr>
        <w:t xml:space="preserve">. </w:t>
      </w:r>
      <w:r>
        <w:rPr>
          <w:rFonts w:eastAsia="Times New Roman" w:cs="Times New Roman"/>
          <w:color w:val="000000"/>
          <w:lang w:eastAsia="da-DK"/>
        </w:rPr>
        <w:t>Lægemiddelstyrelsen</w:t>
      </w:r>
      <w:r w:rsidRPr="00577043">
        <w:rPr>
          <w:rFonts w:eastAsia="Times New Roman" w:cs="Times New Roman"/>
          <w:color w:val="000000"/>
          <w:lang w:eastAsia="da-DK"/>
        </w:rPr>
        <w:t xml:space="preserve"> vurderer indberetninger vedrørende </w:t>
      </w:r>
      <w:r>
        <w:rPr>
          <w:rFonts w:eastAsia="Times New Roman" w:cs="Times New Roman"/>
          <w:color w:val="000000"/>
          <w:lang w:eastAsia="da-DK"/>
        </w:rPr>
        <w:t xml:space="preserve">formodede </w:t>
      </w:r>
      <w:r w:rsidRPr="00577043">
        <w:rPr>
          <w:rFonts w:eastAsia="Times New Roman" w:cs="Times New Roman"/>
          <w:color w:val="000000"/>
          <w:lang w:eastAsia="da-DK"/>
        </w:rPr>
        <w:t>alvorlige uventede bivirkninger</w:t>
      </w:r>
      <w:r>
        <w:rPr>
          <w:rFonts w:eastAsia="Times New Roman" w:cs="Times New Roman"/>
          <w:color w:val="000000"/>
          <w:lang w:eastAsia="da-DK"/>
        </w:rPr>
        <w:t>, jf. artikel 42,</w:t>
      </w:r>
      <w:r w:rsidRPr="00577043">
        <w:rPr>
          <w:rFonts w:eastAsia="Times New Roman" w:cs="Times New Roman"/>
          <w:color w:val="000000"/>
          <w:lang w:eastAsia="da-DK"/>
        </w:rPr>
        <w:t xml:space="preserve"> sponsors årlige rapport om sikkerhed ved et forsøgslægemiddel</w:t>
      </w:r>
      <w:r>
        <w:rPr>
          <w:rFonts w:eastAsia="Times New Roman" w:cs="Times New Roman"/>
          <w:color w:val="000000"/>
          <w:lang w:eastAsia="da-DK"/>
        </w:rPr>
        <w:t xml:space="preserve"> efter artikel 43</w:t>
      </w:r>
      <w:r w:rsidRPr="00577043">
        <w:rPr>
          <w:rFonts w:eastAsia="Times New Roman" w:cs="Times New Roman"/>
          <w:color w:val="000000"/>
          <w:lang w:eastAsia="da-DK"/>
        </w:rPr>
        <w:t xml:space="preserve"> i </w:t>
      </w:r>
      <w:r>
        <w:rPr>
          <w:rFonts w:eastAsia="Times New Roman" w:cs="Times New Roman"/>
          <w:color w:val="000000"/>
          <w:lang w:eastAsia="da-DK"/>
        </w:rPr>
        <w:t>forordningen</w:t>
      </w:r>
      <w:r w:rsidRPr="00577043">
        <w:rPr>
          <w:rFonts w:eastAsia="Times New Roman" w:cs="Times New Roman"/>
          <w:color w:val="000000"/>
          <w:lang w:eastAsia="da-DK"/>
        </w:rPr>
        <w:t>.</w:t>
      </w:r>
      <w:r>
        <w:rPr>
          <w:rFonts w:eastAsia="Times New Roman" w:cs="Times New Roman"/>
          <w:color w:val="000000"/>
          <w:lang w:eastAsia="da-DK"/>
        </w:rPr>
        <w:t xml:space="preserve">  Lægemiddelstyrelsen</w:t>
      </w:r>
      <w:r w:rsidRPr="00577043">
        <w:rPr>
          <w:rFonts w:eastAsia="Times New Roman" w:cs="Times New Roman"/>
          <w:color w:val="000000"/>
          <w:lang w:eastAsia="da-DK"/>
        </w:rPr>
        <w:t xml:space="preserve"> inddrager</w:t>
      </w:r>
      <w:r>
        <w:rPr>
          <w:rFonts w:eastAsia="Times New Roman" w:cs="Times New Roman"/>
          <w:color w:val="000000"/>
          <w:lang w:eastAsia="da-DK"/>
        </w:rPr>
        <w:t xml:space="preserve"> </w:t>
      </w:r>
      <w:r w:rsidRPr="00577043">
        <w:rPr>
          <w:rFonts w:eastAsia="Times New Roman" w:cs="Times New Roman"/>
          <w:color w:val="000000"/>
          <w:lang w:eastAsia="da-DK"/>
        </w:rPr>
        <w:t>den videnskabsetiske komité</w:t>
      </w:r>
      <w:r>
        <w:rPr>
          <w:rFonts w:eastAsia="Times New Roman" w:cs="Times New Roman"/>
          <w:color w:val="000000"/>
          <w:lang w:eastAsia="da-DK"/>
        </w:rPr>
        <w:t>,</w:t>
      </w:r>
      <w:r w:rsidRPr="00577043">
        <w:rPr>
          <w:rFonts w:eastAsia="Times New Roman" w:cs="Times New Roman"/>
          <w:color w:val="000000"/>
          <w:lang w:eastAsia="da-DK"/>
        </w:rPr>
        <w:t xml:space="preserve"> </w:t>
      </w:r>
      <w:r>
        <w:rPr>
          <w:rFonts w:eastAsia="Times New Roman" w:cs="Times New Roman"/>
          <w:color w:val="000000"/>
          <w:lang w:eastAsia="da-DK"/>
        </w:rPr>
        <w:t xml:space="preserve">hvis Lægemiddelstyrelsen efter en sundhedsfaglig vurdering af indberetningen finder grundlag for at træffe korrigerende foranstaltninger efter forordningens artikel 77, jf. § </w:t>
      </w:r>
      <w:r w:rsidR="009A5457">
        <w:rPr>
          <w:rFonts w:eastAsia="Times New Roman" w:cs="Times New Roman"/>
          <w:color w:val="000000"/>
          <w:lang w:eastAsia="da-DK"/>
        </w:rPr>
        <w:t>12</w:t>
      </w:r>
      <w:r>
        <w:rPr>
          <w:rFonts w:eastAsia="Times New Roman" w:cs="Times New Roman"/>
          <w:color w:val="000000"/>
          <w:lang w:eastAsia="da-DK"/>
        </w:rPr>
        <w:t>.</w:t>
      </w:r>
    </w:p>
    <w:p w14:paraId="573F3F2C" w14:textId="77777777" w:rsidR="00043076" w:rsidRDefault="00043076" w:rsidP="00043076">
      <w:pPr>
        <w:rPr>
          <w:rFonts w:eastAsia="Times New Roman" w:cs="Times New Roman"/>
          <w:color w:val="000000"/>
          <w:lang w:eastAsia="da-DK"/>
        </w:rPr>
      </w:pPr>
      <w:r>
        <w:rPr>
          <w:rFonts w:eastAsia="Times New Roman" w:cs="Times New Roman"/>
          <w:color w:val="000000"/>
          <w:lang w:eastAsia="da-DK"/>
        </w:rPr>
        <w:t xml:space="preserve">   </w:t>
      </w:r>
      <w:r w:rsidRPr="00B0019C">
        <w:rPr>
          <w:rFonts w:eastAsia="Times New Roman" w:cs="Times New Roman"/>
          <w:i/>
          <w:color w:val="000000"/>
          <w:lang w:eastAsia="da-DK"/>
        </w:rPr>
        <w:t>Stk. 2.</w:t>
      </w:r>
      <w:r>
        <w:rPr>
          <w:rFonts w:eastAsia="Times New Roman" w:cs="Times New Roman"/>
          <w:color w:val="000000"/>
          <w:lang w:eastAsia="da-DK"/>
        </w:rPr>
        <w:t xml:space="preserve"> Lægemiddelstyrelsen og den videnskabsetiske komité vurderer alvorlige overtrædelser, uventede hændelser, og nødsikkerhedsforanstaltninger som indberettes efter artikel 52, 53 og 54.</w:t>
      </w:r>
    </w:p>
    <w:p w14:paraId="30675413" w14:textId="77777777" w:rsidR="00043076" w:rsidRPr="00577043" w:rsidRDefault="00043076" w:rsidP="00043076">
      <w:pPr>
        <w:rPr>
          <w:rFonts w:eastAsia="Times New Roman" w:cs="Times New Roman"/>
          <w:color w:val="000000"/>
          <w:lang w:eastAsia="da-DK"/>
        </w:rPr>
      </w:pPr>
      <w:r>
        <w:rPr>
          <w:rFonts w:eastAsia="Times New Roman" w:cs="Times New Roman"/>
          <w:i/>
          <w:color w:val="000000"/>
          <w:lang w:eastAsia="da-DK"/>
        </w:rPr>
        <w:t xml:space="preserve">   Stk. 3</w:t>
      </w:r>
      <w:r w:rsidRPr="002114AD">
        <w:rPr>
          <w:rFonts w:eastAsia="Times New Roman" w:cs="Times New Roman"/>
          <w:i/>
          <w:color w:val="000000"/>
          <w:lang w:eastAsia="da-DK"/>
        </w:rPr>
        <w:t>.</w:t>
      </w:r>
      <w:r>
        <w:rPr>
          <w:rFonts w:eastAsia="Times New Roman" w:cs="Times New Roman"/>
          <w:color w:val="000000"/>
          <w:lang w:eastAsia="da-DK"/>
        </w:rPr>
        <w:t xml:space="preserve"> </w:t>
      </w:r>
      <w:r w:rsidRPr="00577043">
        <w:rPr>
          <w:rFonts w:eastAsia="Times New Roman" w:cs="Times New Roman"/>
          <w:color w:val="000000"/>
          <w:lang w:eastAsia="da-DK"/>
        </w:rPr>
        <w:t xml:space="preserve">Sundheds- og ældreministeren </w:t>
      </w:r>
      <w:r>
        <w:rPr>
          <w:rFonts w:eastAsia="Times New Roman" w:cs="Times New Roman"/>
          <w:color w:val="000000"/>
          <w:lang w:eastAsia="da-DK"/>
        </w:rPr>
        <w:t xml:space="preserve">kan </w:t>
      </w:r>
      <w:r w:rsidRPr="00577043">
        <w:rPr>
          <w:rFonts w:eastAsia="Times New Roman" w:cs="Times New Roman"/>
          <w:color w:val="000000"/>
          <w:lang w:eastAsia="da-DK"/>
        </w:rPr>
        <w:t>fastsætte</w:t>
      </w:r>
      <w:r>
        <w:rPr>
          <w:rFonts w:eastAsia="Times New Roman" w:cs="Times New Roman"/>
          <w:color w:val="000000"/>
          <w:lang w:eastAsia="da-DK"/>
        </w:rPr>
        <w:t xml:space="preserve"> nærmere regler om, hvilke andre underretningsforpligtelser Lægemiddelstyrelsen eller den videnskabsetiske lægemiddelkomité skal sikre overholdelse af, jf. stk. 1.</w:t>
      </w:r>
    </w:p>
    <w:p w14:paraId="0711359F" w14:textId="77777777" w:rsidR="00043076" w:rsidRDefault="00043076" w:rsidP="00043076">
      <w:pPr>
        <w:rPr>
          <w:rFonts w:eastAsia="Times New Roman" w:cs="Times New Roman"/>
          <w:color w:val="000000"/>
          <w:lang w:eastAsia="da-DK"/>
        </w:rPr>
      </w:pPr>
    </w:p>
    <w:p w14:paraId="3A42CAA3" w14:textId="77777777" w:rsidR="00043076" w:rsidRPr="00577043" w:rsidRDefault="00043076" w:rsidP="00043076">
      <w:pPr>
        <w:rPr>
          <w:rFonts w:eastAsia="Times New Roman" w:cs="Times New Roman"/>
          <w:color w:val="000000"/>
          <w:lang w:eastAsia="da-DK"/>
        </w:rPr>
      </w:pPr>
      <w:r>
        <w:rPr>
          <w:rFonts w:eastAsia="Times New Roman" w:cs="Times New Roman"/>
          <w:i/>
          <w:color w:val="000000"/>
          <w:lang w:eastAsia="da-DK"/>
        </w:rPr>
        <w:t xml:space="preserve">   </w:t>
      </w:r>
    </w:p>
    <w:p w14:paraId="2F6499B2" w14:textId="77777777" w:rsidR="00043076" w:rsidRPr="00577043" w:rsidRDefault="0047176B" w:rsidP="00043076">
      <w:pPr>
        <w:pStyle w:val="Overskrift2"/>
        <w:rPr>
          <w:rFonts w:eastAsia="Times New Roman" w:cs="Times New Roman"/>
          <w:b w:val="0"/>
          <w:i/>
          <w:lang w:eastAsia="da-DK"/>
        </w:rPr>
      </w:pPr>
      <w:r>
        <w:rPr>
          <w:rFonts w:eastAsia="Times New Roman" w:cs="Times New Roman"/>
          <w:b w:val="0"/>
          <w:i/>
          <w:lang w:eastAsia="da-DK"/>
        </w:rPr>
        <w:t>Myndighedernes i</w:t>
      </w:r>
      <w:r w:rsidR="00043076">
        <w:rPr>
          <w:rFonts w:eastAsia="Times New Roman" w:cs="Times New Roman"/>
          <w:b w:val="0"/>
          <w:i/>
          <w:lang w:eastAsia="da-DK"/>
        </w:rPr>
        <w:t>nspektioner af</w:t>
      </w:r>
      <w:r w:rsidR="00043076" w:rsidRPr="00577043">
        <w:rPr>
          <w:rFonts w:eastAsia="Times New Roman" w:cs="Times New Roman"/>
          <w:b w:val="0"/>
          <w:i/>
          <w:lang w:eastAsia="da-DK"/>
        </w:rPr>
        <w:t xml:space="preserve"> kliniske forsøg på mennesker</w:t>
      </w:r>
    </w:p>
    <w:p w14:paraId="41690A45" w14:textId="77777777" w:rsidR="00043076" w:rsidRPr="00577043" w:rsidRDefault="00043076" w:rsidP="00043076">
      <w:pPr>
        <w:rPr>
          <w:rFonts w:eastAsia="Times New Roman" w:cs="Times New Roman"/>
          <w:b/>
          <w:iCs/>
          <w:color w:val="000000"/>
          <w:lang w:eastAsia="da-DK"/>
        </w:rPr>
      </w:pPr>
      <w:r w:rsidRPr="00577043">
        <w:rPr>
          <w:rFonts w:eastAsia="Times New Roman" w:cs="Times New Roman"/>
          <w:b/>
          <w:iCs/>
          <w:color w:val="000000"/>
          <w:lang w:eastAsia="da-DK"/>
        </w:rPr>
        <w:t xml:space="preserve">  </w:t>
      </w:r>
    </w:p>
    <w:p w14:paraId="75BBD347" w14:textId="77777777" w:rsidR="00043076" w:rsidRDefault="00043076" w:rsidP="00043076">
      <w:pPr>
        <w:rPr>
          <w:rFonts w:eastAsia="Times New Roman" w:cs="Times New Roman"/>
          <w:color w:val="000000"/>
          <w:lang w:eastAsia="da-DK"/>
        </w:rPr>
      </w:pPr>
      <w:r w:rsidRPr="00577043">
        <w:rPr>
          <w:rFonts w:eastAsia="Times New Roman" w:cs="Times New Roman"/>
          <w:b/>
          <w:iCs/>
          <w:color w:val="000000"/>
          <w:lang w:eastAsia="da-DK"/>
        </w:rPr>
        <w:t xml:space="preserve">   § </w:t>
      </w:r>
      <w:r w:rsidR="00E34685">
        <w:rPr>
          <w:rFonts w:eastAsia="Times New Roman" w:cs="Times New Roman"/>
          <w:b/>
          <w:iCs/>
          <w:color w:val="000000"/>
          <w:lang w:eastAsia="da-DK"/>
        </w:rPr>
        <w:t>17</w:t>
      </w:r>
      <w:r w:rsidRPr="00577043">
        <w:rPr>
          <w:rFonts w:eastAsia="Times New Roman" w:cs="Times New Roman"/>
          <w:b/>
          <w:iCs/>
          <w:color w:val="000000"/>
          <w:lang w:eastAsia="da-DK"/>
        </w:rPr>
        <w:t>.</w:t>
      </w:r>
      <w:r w:rsidRPr="00577043">
        <w:rPr>
          <w:rFonts w:eastAsia="Times New Roman" w:cs="Times New Roman"/>
          <w:color w:val="000000"/>
          <w:lang w:eastAsia="da-DK"/>
        </w:rPr>
        <w:t> </w:t>
      </w:r>
      <w:r>
        <w:rPr>
          <w:rFonts w:eastAsia="Times New Roman" w:cs="Times New Roman"/>
          <w:color w:val="000000"/>
          <w:lang w:eastAsia="da-DK"/>
        </w:rPr>
        <w:t>Lægemiddelstyrelsen</w:t>
      </w:r>
      <w:r w:rsidRPr="00577043">
        <w:rPr>
          <w:rFonts w:eastAsia="Times New Roman" w:cs="Times New Roman"/>
          <w:color w:val="000000"/>
          <w:lang w:eastAsia="da-DK"/>
        </w:rPr>
        <w:t xml:space="preserve"> kan inden, under og efter gennemførelsen af et klinisk forsøg med lægemidler på mennesker, herunder som led i behandling af en ansøgning om markedsføringstilladelse efter lægemiddelloven og som opfølgning på udstedelse af en markedsføringstilladelse, </w:t>
      </w:r>
      <w:r>
        <w:rPr>
          <w:rFonts w:eastAsia="Times New Roman" w:cs="Times New Roman"/>
          <w:color w:val="000000"/>
          <w:lang w:eastAsia="da-DK"/>
        </w:rPr>
        <w:t>inspicere</w:t>
      </w:r>
      <w:r w:rsidRPr="00577043">
        <w:rPr>
          <w:rFonts w:eastAsia="Times New Roman" w:cs="Times New Roman"/>
          <w:color w:val="000000"/>
          <w:lang w:eastAsia="da-DK"/>
        </w:rPr>
        <w:t xml:space="preserve"> enhver virksomhed</w:t>
      </w:r>
      <w:r w:rsidR="00B87D66">
        <w:rPr>
          <w:rFonts w:eastAsia="Times New Roman" w:cs="Times New Roman"/>
          <w:color w:val="000000"/>
          <w:lang w:eastAsia="da-DK"/>
        </w:rPr>
        <w:t>, sygehus, klinik</w:t>
      </w:r>
      <w:r w:rsidRPr="00577043">
        <w:rPr>
          <w:rFonts w:eastAsia="Times New Roman" w:cs="Times New Roman"/>
          <w:color w:val="000000"/>
          <w:lang w:eastAsia="da-DK"/>
        </w:rPr>
        <w:t xml:space="preserve"> m.v., der udfører eller har udført et klinisk forsøg i Danmark</w:t>
      </w:r>
      <w:r>
        <w:rPr>
          <w:rFonts w:eastAsia="Times New Roman" w:cs="Times New Roman"/>
          <w:color w:val="000000"/>
          <w:lang w:eastAsia="da-DK"/>
        </w:rPr>
        <w:t xml:space="preserve"> eller har foretaget aktiviteter i tilknytning til et klinisk forsøg udført i udlandet. Lægemiddelstyrelsen</w:t>
      </w:r>
      <w:r w:rsidRPr="00577043">
        <w:rPr>
          <w:rFonts w:eastAsia="Times New Roman" w:cs="Times New Roman"/>
          <w:color w:val="000000"/>
          <w:lang w:eastAsia="da-DK"/>
        </w:rPr>
        <w:t xml:space="preserve"> kan </w:t>
      </w:r>
      <w:r>
        <w:rPr>
          <w:rFonts w:eastAsia="Times New Roman" w:cs="Times New Roman"/>
          <w:color w:val="000000"/>
          <w:lang w:eastAsia="da-DK"/>
        </w:rPr>
        <w:t xml:space="preserve">påbyde </w:t>
      </w:r>
      <w:r w:rsidRPr="00577043">
        <w:rPr>
          <w:rFonts w:eastAsia="Times New Roman" w:cs="Times New Roman"/>
          <w:color w:val="000000"/>
          <w:lang w:eastAsia="da-DK"/>
        </w:rPr>
        <w:t xml:space="preserve">udlevering af alle </w:t>
      </w:r>
      <w:r w:rsidR="0044770E">
        <w:rPr>
          <w:rFonts w:eastAsia="Times New Roman" w:cs="Times New Roman"/>
          <w:color w:val="000000"/>
          <w:lang w:eastAsia="da-DK"/>
        </w:rPr>
        <w:t>oplysninger om</w:t>
      </w:r>
      <w:r>
        <w:rPr>
          <w:rFonts w:eastAsia="Times New Roman" w:cs="Times New Roman"/>
          <w:color w:val="000000"/>
          <w:lang w:eastAsia="da-DK"/>
        </w:rPr>
        <w:t xml:space="preserve"> forsøget</w:t>
      </w:r>
      <w:r w:rsidRPr="00577043">
        <w:rPr>
          <w:rFonts w:eastAsia="Times New Roman" w:cs="Times New Roman"/>
          <w:color w:val="000000"/>
          <w:lang w:eastAsia="da-DK"/>
        </w:rPr>
        <w:t xml:space="preserve">, herunder skriftligt materiale, der er nødvendigt for </w:t>
      </w:r>
      <w:r>
        <w:rPr>
          <w:rFonts w:eastAsia="Times New Roman" w:cs="Times New Roman"/>
          <w:color w:val="000000"/>
          <w:lang w:eastAsia="da-DK"/>
        </w:rPr>
        <w:t>inspektionen</w:t>
      </w:r>
      <w:r w:rsidRPr="00577043">
        <w:rPr>
          <w:rFonts w:eastAsia="Times New Roman" w:cs="Times New Roman"/>
          <w:color w:val="000000"/>
          <w:lang w:eastAsia="da-DK"/>
        </w:rPr>
        <w:t>.</w:t>
      </w:r>
      <w:r w:rsidRPr="00577043">
        <w:rPr>
          <w:rFonts w:eastAsia="Times New Roman" w:cs="Times New Roman"/>
          <w:color w:val="000000"/>
          <w:lang w:eastAsia="da-DK"/>
        </w:rPr>
        <w:br/>
      </w:r>
      <w:r>
        <w:rPr>
          <w:rFonts w:eastAsia="Times New Roman" w:cs="Times New Roman"/>
          <w:i/>
          <w:iCs/>
          <w:color w:val="000000"/>
          <w:lang w:eastAsia="da-DK"/>
        </w:rPr>
        <w:t>   Stk. 2</w:t>
      </w:r>
      <w:r w:rsidRPr="00577043">
        <w:rPr>
          <w:rFonts w:eastAsia="Times New Roman" w:cs="Times New Roman"/>
          <w:i/>
          <w:iCs/>
          <w:color w:val="000000"/>
          <w:lang w:eastAsia="da-DK"/>
        </w:rPr>
        <w:t>.</w:t>
      </w:r>
      <w:r w:rsidRPr="00577043">
        <w:rPr>
          <w:rFonts w:eastAsia="Times New Roman" w:cs="Times New Roman"/>
          <w:color w:val="000000"/>
          <w:lang w:eastAsia="da-DK"/>
        </w:rPr>
        <w:t> </w:t>
      </w:r>
      <w:r>
        <w:rPr>
          <w:rFonts w:eastAsia="Times New Roman" w:cs="Times New Roman"/>
          <w:color w:val="000000"/>
          <w:lang w:eastAsia="da-DK"/>
        </w:rPr>
        <w:t>Lægemiddelstyrelsen</w:t>
      </w:r>
      <w:r w:rsidRPr="00577043">
        <w:rPr>
          <w:rFonts w:eastAsia="Times New Roman" w:cs="Times New Roman"/>
          <w:color w:val="000000"/>
          <w:lang w:eastAsia="da-DK"/>
        </w:rPr>
        <w:t xml:space="preserve"> kan på baggrund af en anmodning fra en kompetent myndighed i et andet EU/EØS-land </w:t>
      </w:r>
      <w:r>
        <w:rPr>
          <w:rFonts w:eastAsia="Times New Roman" w:cs="Times New Roman"/>
          <w:color w:val="000000"/>
          <w:lang w:eastAsia="da-DK"/>
        </w:rPr>
        <w:t xml:space="preserve">eller det europæiske lægemiddelagentur </w:t>
      </w:r>
      <w:r w:rsidRPr="00577043">
        <w:rPr>
          <w:rFonts w:eastAsia="Times New Roman" w:cs="Times New Roman"/>
          <w:color w:val="000000"/>
          <w:lang w:eastAsia="da-DK"/>
        </w:rPr>
        <w:t xml:space="preserve">om bistand til </w:t>
      </w:r>
      <w:r>
        <w:rPr>
          <w:rFonts w:eastAsia="Times New Roman" w:cs="Times New Roman"/>
          <w:color w:val="000000"/>
          <w:lang w:eastAsia="da-DK"/>
        </w:rPr>
        <w:t>inspektion</w:t>
      </w:r>
      <w:r w:rsidRPr="00577043">
        <w:rPr>
          <w:rFonts w:eastAsia="Times New Roman" w:cs="Times New Roman"/>
          <w:color w:val="000000"/>
          <w:lang w:eastAsia="da-DK"/>
        </w:rPr>
        <w:t xml:space="preserve"> af et klinisk forsøg </w:t>
      </w:r>
      <w:r>
        <w:rPr>
          <w:rFonts w:eastAsia="Times New Roman" w:cs="Times New Roman"/>
          <w:color w:val="000000"/>
          <w:lang w:eastAsia="da-DK"/>
        </w:rPr>
        <w:t>inspicere</w:t>
      </w:r>
      <w:r w:rsidRPr="00577043">
        <w:rPr>
          <w:rFonts w:eastAsia="Times New Roman" w:cs="Times New Roman"/>
          <w:color w:val="000000"/>
          <w:lang w:eastAsia="da-DK"/>
        </w:rPr>
        <w:t xml:space="preserve"> enhver virksomhed m.v., der udfører eller har udført et klinisk forsøg med lægemidler</w:t>
      </w:r>
      <w:r>
        <w:rPr>
          <w:rFonts w:eastAsia="Times New Roman" w:cs="Times New Roman"/>
          <w:color w:val="000000"/>
          <w:lang w:eastAsia="da-DK"/>
        </w:rPr>
        <w:t>, eller har foretaget aktiviteter i tilknytning til et klinisk forsøg udført i udlandet</w:t>
      </w:r>
      <w:r w:rsidRPr="00577043">
        <w:rPr>
          <w:rFonts w:eastAsia="Times New Roman" w:cs="Times New Roman"/>
          <w:color w:val="000000"/>
          <w:lang w:eastAsia="da-DK"/>
        </w:rPr>
        <w:t>. Styrelsen kan påbyde udlevering af alle oplysninger</w:t>
      </w:r>
      <w:r>
        <w:rPr>
          <w:rFonts w:eastAsia="Times New Roman" w:cs="Times New Roman"/>
          <w:color w:val="000000"/>
          <w:lang w:eastAsia="da-DK"/>
        </w:rPr>
        <w:t xml:space="preserve"> </w:t>
      </w:r>
      <w:r w:rsidR="008647A7">
        <w:rPr>
          <w:rFonts w:eastAsia="Times New Roman" w:cs="Times New Roman"/>
          <w:color w:val="000000"/>
          <w:lang w:eastAsia="da-DK"/>
        </w:rPr>
        <w:t>om</w:t>
      </w:r>
      <w:r>
        <w:rPr>
          <w:rFonts w:eastAsia="Times New Roman" w:cs="Times New Roman"/>
          <w:color w:val="000000"/>
          <w:lang w:eastAsia="da-DK"/>
        </w:rPr>
        <w:t xml:space="preserve"> forsøget</w:t>
      </w:r>
      <w:r w:rsidRPr="00577043">
        <w:rPr>
          <w:rFonts w:eastAsia="Times New Roman" w:cs="Times New Roman"/>
          <w:color w:val="000000"/>
          <w:lang w:eastAsia="da-DK"/>
        </w:rPr>
        <w:t xml:space="preserve">, herunder skriftligt materiale der er nødvendige for </w:t>
      </w:r>
      <w:r>
        <w:rPr>
          <w:rFonts w:eastAsia="Times New Roman" w:cs="Times New Roman"/>
          <w:color w:val="000000"/>
          <w:lang w:eastAsia="da-DK"/>
        </w:rPr>
        <w:t>inspektionen</w:t>
      </w:r>
      <w:r w:rsidRPr="00577043">
        <w:rPr>
          <w:rFonts w:eastAsia="Times New Roman" w:cs="Times New Roman"/>
          <w:color w:val="000000"/>
          <w:lang w:eastAsia="da-DK"/>
        </w:rPr>
        <w:t>.</w:t>
      </w:r>
    </w:p>
    <w:p w14:paraId="41A53F4F" w14:textId="77777777" w:rsidR="00043076" w:rsidRPr="00577043" w:rsidRDefault="00043076" w:rsidP="00043076">
      <w:pPr>
        <w:rPr>
          <w:rFonts w:eastAsia="Times New Roman" w:cs="Times New Roman"/>
          <w:color w:val="000000"/>
          <w:lang w:eastAsia="da-DK"/>
        </w:rPr>
      </w:pPr>
      <w:r>
        <w:rPr>
          <w:rFonts w:eastAsia="Times New Roman" w:cs="Times New Roman"/>
          <w:i/>
          <w:color w:val="000000"/>
          <w:lang w:eastAsia="da-DK"/>
        </w:rPr>
        <w:t xml:space="preserve">   Stk.</w:t>
      </w:r>
      <w:r w:rsidR="00F03212">
        <w:rPr>
          <w:rFonts w:eastAsia="Times New Roman" w:cs="Times New Roman"/>
          <w:i/>
          <w:color w:val="000000"/>
          <w:lang w:eastAsia="da-DK"/>
        </w:rPr>
        <w:t xml:space="preserve"> </w:t>
      </w:r>
      <w:r>
        <w:rPr>
          <w:rFonts w:eastAsia="Times New Roman" w:cs="Times New Roman"/>
          <w:i/>
          <w:color w:val="000000"/>
          <w:lang w:eastAsia="da-DK"/>
        </w:rPr>
        <w:t>3</w:t>
      </w:r>
      <w:r w:rsidRPr="00577043">
        <w:rPr>
          <w:rFonts w:eastAsia="Times New Roman" w:cs="Times New Roman"/>
          <w:i/>
          <w:color w:val="000000"/>
          <w:lang w:eastAsia="da-DK"/>
        </w:rPr>
        <w:t>.</w:t>
      </w:r>
      <w:r w:rsidRPr="00577043">
        <w:rPr>
          <w:rFonts w:eastAsia="Times New Roman" w:cs="Times New Roman"/>
          <w:color w:val="000000"/>
          <w:lang w:eastAsia="da-DK"/>
        </w:rPr>
        <w:t xml:space="preserve"> </w:t>
      </w:r>
      <w:r>
        <w:rPr>
          <w:rFonts w:eastAsia="Times New Roman" w:cs="Times New Roman"/>
          <w:color w:val="000000"/>
          <w:lang w:eastAsia="da-DK"/>
        </w:rPr>
        <w:t xml:space="preserve">En videnskabsetisk komité kan anmode Lægemiddelstyrelsen om at </w:t>
      </w:r>
      <w:r w:rsidR="00974B7A">
        <w:rPr>
          <w:rFonts w:eastAsia="Times New Roman" w:cs="Times New Roman"/>
          <w:color w:val="000000"/>
          <w:lang w:eastAsia="da-DK"/>
        </w:rPr>
        <w:t>inspicere</w:t>
      </w:r>
      <w:r>
        <w:rPr>
          <w:rFonts w:eastAsia="Times New Roman" w:cs="Times New Roman"/>
          <w:color w:val="000000"/>
          <w:lang w:eastAsia="da-DK"/>
        </w:rPr>
        <w:t xml:space="preserve"> </w:t>
      </w:r>
      <w:r w:rsidR="00177502">
        <w:rPr>
          <w:rFonts w:eastAsia="Times New Roman" w:cs="Times New Roman"/>
          <w:color w:val="000000"/>
          <w:lang w:eastAsia="da-DK"/>
        </w:rPr>
        <w:t>en virksomhed m</w:t>
      </w:r>
      <w:r w:rsidR="00094421">
        <w:rPr>
          <w:rFonts w:eastAsia="Times New Roman" w:cs="Times New Roman"/>
          <w:color w:val="000000"/>
          <w:lang w:eastAsia="da-DK"/>
        </w:rPr>
        <w:t>.</w:t>
      </w:r>
      <w:r w:rsidR="00177502">
        <w:rPr>
          <w:rFonts w:eastAsia="Times New Roman" w:cs="Times New Roman"/>
          <w:color w:val="000000"/>
          <w:lang w:eastAsia="da-DK"/>
        </w:rPr>
        <w:t xml:space="preserve">v., der udfører </w:t>
      </w:r>
      <w:r>
        <w:rPr>
          <w:rFonts w:eastAsia="Times New Roman" w:cs="Times New Roman"/>
          <w:color w:val="000000"/>
          <w:lang w:eastAsia="da-DK"/>
        </w:rPr>
        <w:t>et konkret klinisk forsøg, såfremt komiteen finder</w:t>
      </w:r>
      <w:r w:rsidR="00AC4845">
        <w:rPr>
          <w:rFonts w:eastAsia="Times New Roman" w:cs="Times New Roman"/>
          <w:color w:val="000000"/>
          <w:lang w:eastAsia="da-DK"/>
        </w:rPr>
        <w:t>,</w:t>
      </w:r>
      <w:r>
        <w:rPr>
          <w:rFonts w:eastAsia="Times New Roman" w:cs="Times New Roman"/>
          <w:color w:val="000000"/>
          <w:lang w:eastAsia="da-DK"/>
        </w:rPr>
        <w:t xml:space="preserve"> at der er behov herfor. </w:t>
      </w:r>
      <w:r w:rsidRPr="00577043">
        <w:rPr>
          <w:rFonts w:eastAsia="Times New Roman" w:cs="Times New Roman"/>
          <w:color w:val="000000"/>
          <w:lang w:eastAsia="da-DK"/>
        </w:rPr>
        <w:t xml:space="preserve">Efter en konkret vurdering </w:t>
      </w:r>
      <w:r w:rsidR="00584141">
        <w:rPr>
          <w:rFonts w:eastAsia="Times New Roman" w:cs="Times New Roman"/>
          <w:color w:val="000000"/>
          <w:lang w:eastAsia="da-DK"/>
        </w:rPr>
        <w:t xml:space="preserve">fra Lægemiddelstyrelsen og den videnskabsetiske komité </w:t>
      </w:r>
      <w:r w:rsidRPr="00577043">
        <w:rPr>
          <w:rFonts w:eastAsia="Times New Roman" w:cs="Times New Roman"/>
          <w:color w:val="000000"/>
          <w:lang w:eastAsia="da-DK"/>
        </w:rPr>
        <w:t xml:space="preserve">kan den videnskabsetiske komite </w:t>
      </w:r>
      <w:r w:rsidR="00584141">
        <w:rPr>
          <w:rFonts w:eastAsia="Times New Roman" w:cs="Times New Roman"/>
          <w:color w:val="000000"/>
          <w:lang w:eastAsia="da-DK"/>
        </w:rPr>
        <w:t xml:space="preserve">endvidere </w:t>
      </w:r>
      <w:r w:rsidRPr="00577043">
        <w:rPr>
          <w:rFonts w:eastAsia="Times New Roman" w:cs="Times New Roman"/>
          <w:color w:val="000000"/>
          <w:lang w:eastAsia="da-DK"/>
        </w:rPr>
        <w:t xml:space="preserve">deltage i </w:t>
      </w:r>
      <w:r>
        <w:rPr>
          <w:rFonts w:eastAsia="Times New Roman" w:cs="Times New Roman"/>
          <w:color w:val="000000"/>
          <w:lang w:eastAsia="da-DK"/>
        </w:rPr>
        <w:t>Lægemiddelstyrelsen</w:t>
      </w:r>
      <w:r w:rsidRPr="00577043">
        <w:rPr>
          <w:rFonts w:eastAsia="Times New Roman" w:cs="Times New Roman"/>
          <w:color w:val="000000"/>
          <w:lang w:eastAsia="da-DK"/>
        </w:rPr>
        <w:t xml:space="preserve">s </w:t>
      </w:r>
      <w:r>
        <w:rPr>
          <w:rFonts w:eastAsia="Times New Roman" w:cs="Times New Roman"/>
          <w:color w:val="000000"/>
          <w:lang w:eastAsia="da-DK"/>
        </w:rPr>
        <w:t>inspektion</w:t>
      </w:r>
      <w:r w:rsidRPr="00577043">
        <w:rPr>
          <w:rFonts w:eastAsia="Times New Roman" w:cs="Times New Roman"/>
          <w:color w:val="000000"/>
          <w:lang w:eastAsia="da-DK"/>
        </w:rPr>
        <w:t xml:space="preserve"> i henhold til stk. </w:t>
      </w:r>
      <w:r>
        <w:rPr>
          <w:rFonts w:eastAsia="Times New Roman" w:cs="Times New Roman"/>
          <w:color w:val="000000"/>
          <w:lang w:eastAsia="da-DK"/>
        </w:rPr>
        <w:t xml:space="preserve">1 og </w:t>
      </w:r>
      <w:r w:rsidRPr="00577043">
        <w:rPr>
          <w:rFonts w:eastAsia="Times New Roman" w:cs="Times New Roman"/>
          <w:color w:val="000000"/>
          <w:lang w:eastAsia="da-DK"/>
        </w:rPr>
        <w:t>2</w:t>
      </w:r>
      <w:r>
        <w:rPr>
          <w:rFonts w:eastAsia="Times New Roman" w:cs="Times New Roman"/>
          <w:color w:val="000000"/>
          <w:lang w:eastAsia="da-DK"/>
        </w:rPr>
        <w:t xml:space="preserve"> og § 1</w:t>
      </w:r>
      <w:r w:rsidR="00020BE5">
        <w:rPr>
          <w:rFonts w:eastAsia="Times New Roman" w:cs="Times New Roman"/>
          <w:color w:val="000000"/>
          <w:lang w:eastAsia="da-DK"/>
        </w:rPr>
        <w:t>8</w:t>
      </w:r>
      <w:r>
        <w:rPr>
          <w:rFonts w:eastAsia="Times New Roman" w:cs="Times New Roman"/>
          <w:color w:val="000000"/>
          <w:lang w:eastAsia="da-DK"/>
        </w:rPr>
        <w:t>, stk. 1</w:t>
      </w:r>
      <w:r w:rsidR="001103F3">
        <w:rPr>
          <w:rFonts w:eastAsia="Times New Roman" w:cs="Times New Roman"/>
          <w:color w:val="000000"/>
          <w:lang w:eastAsia="da-DK"/>
        </w:rPr>
        <w:t>, når inspektionen vedrører godkendelse af eller opfølgning på et klinisk forsøg med lægemidler</w:t>
      </w:r>
      <w:r w:rsidRPr="00577043">
        <w:rPr>
          <w:rFonts w:eastAsia="Times New Roman" w:cs="Times New Roman"/>
          <w:color w:val="000000"/>
          <w:lang w:eastAsia="da-DK"/>
        </w:rPr>
        <w:t xml:space="preserve">. Hvis den videnskabsetiske </w:t>
      </w:r>
      <w:r w:rsidRPr="00577043">
        <w:rPr>
          <w:rFonts w:eastAsia="Times New Roman" w:cs="Times New Roman"/>
          <w:color w:val="000000"/>
          <w:lang w:eastAsia="da-DK"/>
        </w:rPr>
        <w:lastRenderedPageBreak/>
        <w:t xml:space="preserve">komite deltager i inspektionen, har komiteens repræsentanter samme rettigheder som </w:t>
      </w:r>
      <w:r>
        <w:rPr>
          <w:rFonts w:eastAsia="Times New Roman" w:cs="Times New Roman"/>
          <w:color w:val="000000"/>
          <w:lang w:eastAsia="da-DK"/>
        </w:rPr>
        <w:t xml:space="preserve">Lægemiddelstyrelsen efter stk. </w:t>
      </w:r>
      <w:r w:rsidR="00020BE5">
        <w:rPr>
          <w:rFonts w:eastAsia="Times New Roman" w:cs="Times New Roman"/>
          <w:color w:val="000000"/>
          <w:lang w:eastAsia="da-DK"/>
        </w:rPr>
        <w:t xml:space="preserve">1 og </w:t>
      </w:r>
      <w:r>
        <w:rPr>
          <w:rFonts w:eastAsia="Times New Roman" w:cs="Times New Roman"/>
          <w:color w:val="000000"/>
          <w:lang w:eastAsia="da-DK"/>
        </w:rPr>
        <w:t>2,</w:t>
      </w:r>
      <w:r w:rsidRPr="00577043">
        <w:rPr>
          <w:rFonts w:eastAsia="Times New Roman" w:cs="Times New Roman"/>
          <w:color w:val="000000"/>
          <w:lang w:eastAsia="da-DK"/>
        </w:rPr>
        <w:t xml:space="preserve"> samt efter § </w:t>
      </w:r>
      <w:r w:rsidR="00020BE5">
        <w:rPr>
          <w:rFonts w:eastAsia="Times New Roman" w:cs="Times New Roman"/>
          <w:color w:val="000000"/>
          <w:lang w:eastAsia="da-DK"/>
        </w:rPr>
        <w:t>18</w:t>
      </w:r>
      <w:r w:rsidRPr="00577043">
        <w:rPr>
          <w:rFonts w:eastAsia="Times New Roman" w:cs="Times New Roman"/>
          <w:color w:val="000000"/>
          <w:lang w:eastAsia="da-DK"/>
        </w:rPr>
        <w:t xml:space="preserve">, stk. 1 og 2. Sundheds- og ældreministeren fastsætter nærmere bestemmelser om </w:t>
      </w:r>
      <w:r>
        <w:rPr>
          <w:rFonts w:eastAsia="Times New Roman" w:cs="Times New Roman"/>
          <w:color w:val="000000"/>
          <w:lang w:eastAsia="da-DK"/>
        </w:rPr>
        <w:t>Lægemiddelstyrelsen</w:t>
      </w:r>
      <w:r w:rsidRPr="00577043">
        <w:rPr>
          <w:rFonts w:eastAsia="Times New Roman" w:cs="Times New Roman"/>
          <w:color w:val="000000"/>
          <w:lang w:eastAsia="da-DK"/>
        </w:rPr>
        <w:t xml:space="preserve">s og den videnskabsetiske komités samarbejde i forbindelse med gennemførelsen af </w:t>
      </w:r>
      <w:r>
        <w:rPr>
          <w:rFonts w:eastAsia="Times New Roman" w:cs="Times New Roman"/>
          <w:color w:val="000000"/>
          <w:lang w:eastAsia="da-DK"/>
        </w:rPr>
        <w:t xml:space="preserve">inspektioner af </w:t>
      </w:r>
      <w:r w:rsidRPr="00577043">
        <w:rPr>
          <w:rFonts w:eastAsia="Times New Roman" w:cs="Times New Roman"/>
          <w:color w:val="000000"/>
          <w:lang w:eastAsia="da-DK"/>
        </w:rPr>
        <w:t>kliniske forsøg.</w:t>
      </w:r>
    </w:p>
    <w:p w14:paraId="7B7A7E8E" w14:textId="77777777" w:rsidR="00043076" w:rsidRPr="00BA1779" w:rsidRDefault="00043076" w:rsidP="00043076">
      <w:pPr>
        <w:rPr>
          <w:rFonts w:eastAsia="Times New Roman" w:cs="Times New Roman"/>
          <w:color w:val="000000"/>
          <w:lang w:eastAsia="da-DK"/>
        </w:rPr>
      </w:pPr>
      <w:r>
        <w:rPr>
          <w:rFonts w:eastAsia="Times New Roman" w:cs="Times New Roman"/>
          <w:i/>
          <w:color w:val="000000"/>
          <w:lang w:eastAsia="da-DK"/>
        </w:rPr>
        <w:t xml:space="preserve">   Stk.4. </w:t>
      </w:r>
      <w:r>
        <w:rPr>
          <w:rFonts w:eastAsia="Times New Roman" w:cs="Times New Roman"/>
          <w:color w:val="000000"/>
          <w:lang w:eastAsia="da-DK"/>
        </w:rPr>
        <w:t>S</w:t>
      </w:r>
      <w:r w:rsidRPr="00577043">
        <w:rPr>
          <w:rFonts w:eastAsia="Times New Roman" w:cs="Times New Roman"/>
          <w:color w:val="000000"/>
          <w:lang w:eastAsia="da-DK"/>
        </w:rPr>
        <w:t xml:space="preserve">undheds- og ældreministeren kan fastsætte nærmere bestemmelser om </w:t>
      </w:r>
      <w:r>
        <w:rPr>
          <w:rFonts w:eastAsia="Times New Roman" w:cs="Times New Roman"/>
          <w:color w:val="000000"/>
          <w:lang w:eastAsia="da-DK"/>
        </w:rPr>
        <w:t>Lægemiddelstyrelsen</w:t>
      </w:r>
      <w:r w:rsidRPr="00577043">
        <w:rPr>
          <w:rFonts w:eastAsia="Times New Roman" w:cs="Times New Roman"/>
          <w:color w:val="000000"/>
          <w:lang w:eastAsia="da-DK"/>
        </w:rPr>
        <w:t>s gennemførelse af inspektioner</w:t>
      </w:r>
      <w:r>
        <w:rPr>
          <w:rFonts w:eastAsia="Times New Roman" w:cs="Times New Roman"/>
          <w:color w:val="000000"/>
          <w:lang w:eastAsia="da-DK"/>
        </w:rPr>
        <w:t xml:space="preserve"> i henhold til stk</w:t>
      </w:r>
      <w:r w:rsidRPr="00577043">
        <w:rPr>
          <w:rFonts w:eastAsia="Times New Roman" w:cs="Times New Roman"/>
          <w:color w:val="000000"/>
          <w:lang w:eastAsia="da-DK"/>
        </w:rPr>
        <w:t>.</w:t>
      </w:r>
      <w:r>
        <w:rPr>
          <w:rFonts w:eastAsia="Times New Roman" w:cs="Times New Roman"/>
          <w:color w:val="000000"/>
          <w:lang w:eastAsia="da-DK"/>
        </w:rPr>
        <w:t xml:space="preserve"> 1-4.</w:t>
      </w:r>
    </w:p>
    <w:p w14:paraId="25560B05" w14:textId="77777777" w:rsidR="00043076" w:rsidRPr="00272F9C" w:rsidRDefault="00043076" w:rsidP="00043076">
      <w:pPr>
        <w:rPr>
          <w:rFonts w:eastAsia="Times New Roman" w:cs="Times New Roman"/>
          <w:iCs/>
          <w:color w:val="000000"/>
          <w:lang w:eastAsia="da-DK"/>
        </w:rPr>
      </w:pPr>
    </w:p>
    <w:p w14:paraId="70F174FD" w14:textId="77777777" w:rsidR="00043076" w:rsidRDefault="00043076" w:rsidP="00043076">
      <w:pPr>
        <w:rPr>
          <w:rFonts w:eastAsia="Times New Roman" w:cs="Times New Roman"/>
          <w:color w:val="000000"/>
          <w:lang w:eastAsia="da-DK"/>
        </w:rPr>
      </w:pPr>
      <w:r w:rsidRPr="00577043">
        <w:rPr>
          <w:rFonts w:eastAsia="Times New Roman" w:cs="Times New Roman"/>
          <w:b/>
          <w:iCs/>
          <w:color w:val="000000"/>
          <w:lang w:eastAsia="da-DK"/>
        </w:rPr>
        <w:t xml:space="preserve">   § </w:t>
      </w:r>
      <w:r w:rsidR="00E34685">
        <w:rPr>
          <w:rFonts w:eastAsia="Times New Roman" w:cs="Times New Roman"/>
          <w:b/>
          <w:iCs/>
          <w:color w:val="000000"/>
          <w:lang w:eastAsia="da-DK"/>
        </w:rPr>
        <w:t>18</w:t>
      </w:r>
      <w:r w:rsidRPr="00577043">
        <w:rPr>
          <w:rFonts w:eastAsia="Times New Roman" w:cs="Times New Roman"/>
          <w:b/>
          <w:i/>
          <w:iCs/>
          <w:color w:val="000000"/>
          <w:lang w:eastAsia="da-DK"/>
        </w:rPr>
        <w:t>.</w:t>
      </w:r>
      <w:r w:rsidRPr="00577043">
        <w:rPr>
          <w:rFonts w:eastAsia="Times New Roman" w:cs="Times New Roman"/>
          <w:color w:val="000000"/>
          <w:lang w:eastAsia="da-DK"/>
        </w:rPr>
        <w:t xml:space="preserve"> Som led i </w:t>
      </w:r>
      <w:r>
        <w:rPr>
          <w:rFonts w:eastAsia="Times New Roman" w:cs="Times New Roman"/>
          <w:color w:val="000000"/>
          <w:lang w:eastAsia="da-DK"/>
        </w:rPr>
        <w:t>Lægemiddelstyrelsen</w:t>
      </w:r>
      <w:r w:rsidRPr="00577043">
        <w:rPr>
          <w:rFonts w:eastAsia="Times New Roman" w:cs="Times New Roman"/>
          <w:color w:val="000000"/>
          <w:lang w:eastAsia="da-DK"/>
        </w:rPr>
        <w:t xml:space="preserve">s </w:t>
      </w:r>
      <w:r>
        <w:rPr>
          <w:rFonts w:eastAsia="Times New Roman" w:cs="Times New Roman"/>
          <w:color w:val="000000"/>
          <w:lang w:eastAsia="da-DK"/>
        </w:rPr>
        <w:t xml:space="preserve">inspektion </w:t>
      </w:r>
      <w:r w:rsidRPr="00577043">
        <w:rPr>
          <w:rFonts w:eastAsia="Times New Roman" w:cs="Times New Roman"/>
          <w:color w:val="000000"/>
          <w:lang w:eastAsia="da-DK"/>
        </w:rPr>
        <w:t>efter § 1</w:t>
      </w:r>
      <w:r w:rsidR="00C4616A">
        <w:rPr>
          <w:rFonts w:eastAsia="Times New Roman" w:cs="Times New Roman"/>
          <w:color w:val="000000"/>
          <w:lang w:eastAsia="da-DK"/>
        </w:rPr>
        <w:t>7</w:t>
      </w:r>
      <w:r w:rsidRPr="00577043">
        <w:rPr>
          <w:rFonts w:eastAsia="Times New Roman" w:cs="Times New Roman"/>
          <w:color w:val="000000"/>
          <w:lang w:eastAsia="da-DK"/>
        </w:rPr>
        <w:t xml:space="preserve">, stk. </w:t>
      </w:r>
      <w:r>
        <w:rPr>
          <w:rFonts w:eastAsia="Times New Roman" w:cs="Times New Roman"/>
          <w:color w:val="000000"/>
          <w:lang w:eastAsia="da-DK"/>
        </w:rPr>
        <w:t>1 og 2</w:t>
      </w:r>
      <w:r w:rsidRPr="00577043">
        <w:rPr>
          <w:rFonts w:eastAsia="Times New Roman" w:cs="Times New Roman"/>
          <w:color w:val="000000"/>
          <w:lang w:eastAsia="da-DK"/>
        </w:rPr>
        <w:t>, har styrelsens repræsentanter mod behørig legitimation og uden retskendelse adgang til virksomheder, sygehuse, klinikker og andre steder, der er berørt af forsøgets gennemførelse.</w:t>
      </w:r>
      <w:r w:rsidRPr="00577043">
        <w:rPr>
          <w:rFonts w:eastAsia="Times New Roman" w:cs="Times New Roman"/>
          <w:color w:val="000000"/>
          <w:lang w:eastAsia="da-DK"/>
        </w:rPr>
        <w:br/>
      </w:r>
      <w:r w:rsidRPr="00577043">
        <w:rPr>
          <w:rFonts w:eastAsia="Times New Roman" w:cs="Times New Roman"/>
          <w:i/>
          <w:iCs/>
          <w:color w:val="000000"/>
          <w:lang w:eastAsia="da-DK"/>
        </w:rPr>
        <w:t>   Stk. 2.</w:t>
      </w:r>
      <w:r w:rsidRPr="00577043">
        <w:rPr>
          <w:rFonts w:eastAsia="Times New Roman" w:cs="Times New Roman"/>
          <w:color w:val="000000"/>
          <w:lang w:eastAsia="da-DK"/>
        </w:rPr>
        <w:t> </w:t>
      </w:r>
      <w:r>
        <w:rPr>
          <w:rFonts w:eastAsia="Times New Roman" w:cs="Times New Roman"/>
          <w:color w:val="000000"/>
          <w:lang w:eastAsia="da-DK"/>
        </w:rPr>
        <w:t>Lægemiddelstyrelsen</w:t>
      </w:r>
      <w:r w:rsidRPr="00577043">
        <w:rPr>
          <w:rFonts w:eastAsia="Times New Roman" w:cs="Times New Roman"/>
          <w:color w:val="000000"/>
          <w:lang w:eastAsia="da-DK"/>
        </w:rPr>
        <w:t xml:space="preserve"> </w:t>
      </w:r>
      <w:r w:rsidR="002A699F">
        <w:rPr>
          <w:rFonts w:eastAsia="Times New Roman" w:cs="Times New Roman"/>
          <w:color w:val="000000"/>
          <w:lang w:eastAsia="da-DK"/>
        </w:rPr>
        <w:t xml:space="preserve">har </w:t>
      </w:r>
      <w:r w:rsidR="00EB5BC3">
        <w:rPr>
          <w:rFonts w:eastAsia="Times New Roman" w:cs="Times New Roman"/>
          <w:color w:val="000000"/>
          <w:lang w:eastAsia="da-DK"/>
        </w:rPr>
        <w:t>direkte adgang til at indhente oplysninger i</w:t>
      </w:r>
      <w:r w:rsidR="00BF26AE">
        <w:rPr>
          <w:rFonts w:eastAsia="Times New Roman" w:cs="Times New Roman"/>
          <w:color w:val="000000"/>
          <w:lang w:eastAsia="da-DK"/>
        </w:rPr>
        <w:t xml:space="preserve"> </w:t>
      </w:r>
      <w:r>
        <w:rPr>
          <w:rFonts w:eastAsia="Times New Roman" w:cs="Times New Roman"/>
          <w:color w:val="000000"/>
          <w:lang w:eastAsia="da-DK"/>
        </w:rPr>
        <w:t>patientjournaler m</w:t>
      </w:r>
      <w:r w:rsidR="00094421">
        <w:rPr>
          <w:rFonts w:eastAsia="Times New Roman" w:cs="Times New Roman"/>
          <w:color w:val="000000"/>
          <w:lang w:eastAsia="da-DK"/>
        </w:rPr>
        <w:t>.</w:t>
      </w:r>
      <w:r>
        <w:rPr>
          <w:rFonts w:eastAsia="Times New Roman" w:cs="Times New Roman"/>
          <w:color w:val="000000"/>
          <w:lang w:eastAsia="da-DK"/>
        </w:rPr>
        <w:t>v., herunder elektroniske journaler,</w:t>
      </w:r>
      <w:r w:rsidRPr="00577043">
        <w:rPr>
          <w:rFonts w:eastAsia="Times New Roman" w:cs="Times New Roman"/>
          <w:color w:val="000000"/>
          <w:lang w:eastAsia="da-DK"/>
        </w:rPr>
        <w:t xml:space="preserve"> </w:t>
      </w:r>
      <w:r>
        <w:rPr>
          <w:rFonts w:eastAsia="Times New Roman" w:cs="Times New Roman"/>
          <w:color w:val="000000"/>
          <w:lang w:eastAsia="da-DK"/>
        </w:rPr>
        <w:t xml:space="preserve">med henblik på at se oplysninger </w:t>
      </w:r>
      <w:r w:rsidRPr="00577043">
        <w:rPr>
          <w:rFonts w:eastAsia="Times New Roman" w:cs="Times New Roman"/>
          <w:color w:val="000000"/>
          <w:lang w:eastAsia="da-DK"/>
        </w:rPr>
        <w:t>om forsøgspersoners helbredsforhold</w:t>
      </w:r>
      <w:r>
        <w:rPr>
          <w:rFonts w:eastAsia="Times New Roman" w:cs="Times New Roman"/>
          <w:color w:val="000000"/>
          <w:lang w:eastAsia="da-DK"/>
        </w:rPr>
        <w:t>,</w:t>
      </w:r>
      <w:r w:rsidRPr="00577043">
        <w:rPr>
          <w:rFonts w:eastAsia="Times New Roman" w:cs="Times New Roman"/>
          <w:color w:val="000000"/>
          <w:lang w:eastAsia="da-DK"/>
        </w:rPr>
        <w:t xml:space="preserve"> </w:t>
      </w:r>
      <w:r>
        <w:rPr>
          <w:rFonts w:eastAsia="Times New Roman" w:cs="Times New Roman"/>
          <w:color w:val="000000"/>
          <w:lang w:eastAsia="da-DK"/>
        </w:rPr>
        <w:t>som er nødvendige som led i Lægemiddelstyrelsens inspektion efter § 1</w:t>
      </w:r>
      <w:r w:rsidR="00C4616A">
        <w:rPr>
          <w:rFonts w:eastAsia="Times New Roman" w:cs="Times New Roman"/>
          <w:color w:val="000000"/>
          <w:lang w:eastAsia="da-DK"/>
        </w:rPr>
        <w:t>7</w:t>
      </w:r>
      <w:r>
        <w:rPr>
          <w:rFonts w:eastAsia="Times New Roman" w:cs="Times New Roman"/>
          <w:color w:val="000000"/>
          <w:lang w:eastAsia="da-DK"/>
        </w:rPr>
        <w:t>, stk. 1 og 2</w:t>
      </w:r>
      <w:r w:rsidRPr="00577043">
        <w:rPr>
          <w:rFonts w:eastAsia="Times New Roman" w:cs="Times New Roman"/>
          <w:color w:val="000000"/>
          <w:lang w:eastAsia="da-DK"/>
        </w:rPr>
        <w:t xml:space="preserve">. </w:t>
      </w:r>
    </w:p>
    <w:p w14:paraId="7A21F442" w14:textId="77777777" w:rsidR="00043076" w:rsidRDefault="00043076" w:rsidP="00043076">
      <w:pPr>
        <w:rPr>
          <w:rFonts w:eastAsia="Times New Roman" w:cs="Times New Roman"/>
          <w:color w:val="000000"/>
          <w:lang w:eastAsia="da-DK"/>
        </w:rPr>
      </w:pPr>
      <w:r>
        <w:rPr>
          <w:rFonts w:eastAsia="Times New Roman" w:cs="Times New Roman"/>
          <w:color w:val="000000"/>
          <w:lang w:eastAsia="da-DK"/>
        </w:rPr>
        <w:t xml:space="preserve">   </w:t>
      </w:r>
    </w:p>
    <w:p w14:paraId="03A48CFA" w14:textId="77777777" w:rsidR="00043076" w:rsidRPr="00577043" w:rsidRDefault="00043076" w:rsidP="00043076">
      <w:pPr>
        <w:rPr>
          <w:rFonts w:eastAsia="Times New Roman" w:cs="Times New Roman"/>
          <w:color w:val="000000"/>
          <w:lang w:eastAsia="da-DK"/>
        </w:rPr>
      </w:pPr>
    </w:p>
    <w:p w14:paraId="5AC1162E" w14:textId="77777777" w:rsidR="00043076" w:rsidRPr="00577043" w:rsidRDefault="00043076" w:rsidP="00043076">
      <w:pPr>
        <w:pStyle w:val="Overskrift2"/>
        <w:rPr>
          <w:rFonts w:eastAsia="Times New Roman" w:cs="Times New Roman"/>
          <w:b w:val="0"/>
          <w:i/>
          <w:lang w:eastAsia="da-DK"/>
        </w:rPr>
      </w:pPr>
      <w:r w:rsidRPr="00577043">
        <w:rPr>
          <w:rFonts w:eastAsia="Times New Roman" w:cs="Times New Roman"/>
          <w:b w:val="0"/>
          <w:i/>
          <w:lang w:eastAsia="da-DK"/>
        </w:rPr>
        <w:t>Sponsors</w:t>
      </w:r>
      <w:r>
        <w:rPr>
          <w:rFonts w:eastAsia="Times New Roman" w:cs="Times New Roman"/>
          <w:b w:val="0"/>
          <w:i/>
          <w:lang w:eastAsia="da-DK"/>
        </w:rPr>
        <w:t>, investigators</w:t>
      </w:r>
      <w:r w:rsidRPr="00577043">
        <w:rPr>
          <w:rFonts w:eastAsia="Times New Roman" w:cs="Times New Roman"/>
          <w:b w:val="0"/>
          <w:i/>
          <w:lang w:eastAsia="da-DK"/>
        </w:rPr>
        <w:t xml:space="preserve"> </w:t>
      </w:r>
      <w:r>
        <w:rPr>
          <w:rFonts w:eastAsia="Times New Roman" w:cs="Times New Roman"/>
          <w:b w:val="0"/>
          <w:i/>
          <w:lang w:eastAsia="da-DK"/>
        </w:rPr>
        <w:t xml:space="preserve">og udenlandske myndigheders </w:t>
      </w:r>
      <w:r w:rsidRPr="00577043">
        <w:rPr>
          <w:rFonts w:eastAsia="Times New Roman" w:cs="Times New Roman"/>
          <w:b w:val="0"/>
          <w:i/>
          <w:lang w:eastAsia="da-DK"/>
        </w:rPr>
        <w:t>kontrol med kliniske forsøg på mennesker</w:t>
      </w:r>
    </w:p>
    <w:p w14:paraId="3C7CC7DD" w14:textId="77777777" w:rsidR="00043076" w:rsidRPr="00577043" w:rsidRDefault="00043076" w:rsidP="00043076">
      <w:pPr>
        <w:rPr>
          <w:rFonts w:eastAsia="Times New Roman" w:cs="Times New Roman"/>
          <w:b/>
          <w:iCs/>
          <w:color w:val="000000"/>
          <w:lang w:eastAsia="da-DK"/>
        </w:rPr>
      </w:pPr>
    </w:p>
    <w:p w14:paraId="1A0C4B5E" w14:textId="77777777" w:rsidR="00043076" w:rsidRPr="00577043" w:rsidRDefault="00043076" w:rsidP="00043076">
      <w:pPr>
        <w:rPr>
          <w:rFonts w:eastAsia="Times New Roman" w:cs="Times New Roman"/>
          <w:color w:val="000000"/>
          <w:lang w:eastAsia="da-DK"/>
        </w:rPr>
      </w:pPr>
      <w:r w:rsidRPr="00577043">
        <w:rPr>
          <w:rFonts w:eastAsia="Times New Roman" w:cs="Times New Roman"/>
          <w:b/>
          <w:color w:val="000000"/>
          <w:lang w:eastAsia="da-DK"/>
        </w:rPr>
        <w:t xml:space="preserve">   § </w:t>
      </w:r>
      <w:r w:rsidR="00E34685">
        <w:rPr>
          <w:rFonts w:eastAsia="Times New Roman" w:cs="Times New Roman"/>
          <w:b/>
          <w:color w:val="000000"/>
          <w:lang w:eastAsia="da-DK"/>
        </w:rPr>
        <w:t>19</w:t>
      </w:r>
      <w:r w:rsidRPr="00577043">
        <w:rPr>
          <w:rFonts w:eastAsia="Times New Roman" w:cs="Times New Roman"/>
          <w:color w:val="000000"/>
          <w:lang w:eastAsia="da-DK"/>
        </w:rPr>
        <w:t xml:space="preserve">. Et samtykke afgivet efter kapitel V i </w:t>
      </w:r>
      <w:r>
        <w:rPr>
          <w:rFonts w:eastAsia="Times New Roman" w:cs="Times New Roman"/>
          <w:color w:val="000000"/>
          <w:lang w:eastAsia="da-DK"/>
        </w:rPr>
        <w:t>forordningen</w:t>
      </w:r>
      <w:r w:rsidRPr="00577043">
        <w:rPr>
          <w:rFonts w:eastAsia="Times New Roman" w:cs="Times New Roman"/>
          <w:color w:val="000000"/>
          <w:lang w:eastAsia="da-DK"/>
        </w:rPr>
        <w:t xml:space="preserve"> giver </w:t>
      </w:r>
      <w:r w:rsidR="00BF26AE">
        <w:rPr>
          <w:rFonts w:eastAsia="Times New Roman" w:cs="Times New Roman"/>
          <w:color w:val="000000"/>
          <w:lang w:eastAsia="da-DK"/>
        </w:rPr>
        <w:t xml:space="preserve">sponsor og </w:t>
      </w:r>
      <w:r>
        <w:rPr>
          <w:rFonts w:eastAsia="Times New Roman" w:cs="Times New Roman"/>
          <w:color w:val="000000"/>
          <w:lang w:eastAsia="da-DK"/>
        </w:rPr>
        <w:t>sponsors repræsentanter og investigator adgang til at indhente oplysninger i</w:t>
      </w:r>
      <w:r w:rsidRPr="00577043">
        <w:rPr>
          <w:rFonts w:eastAsia="Times New Roman" w:cs="Times New Roman"/>
          <w:color w:val="000000"/>
          <w:lang w:eastAsia="da-DK"/>
        </w:rPr>
        <w:t xml:space="preserve"> patientjournaler m</w:t>
      </w:r>
      <w:r w:rsidR="00094421">
        <w:rPr>
          <w:rFonts w:eastAsia="Times New Roman" w:cs="Times New Roman"/>
          <w:color w:val="000000"/>
          <w:lang w:eastAsia="da-DK"/>
        </w:rPr>
        <w:t>.</w:t>
      </w:r>
      <w:r w:rsidRPr="00577043">
        <w:rPr>
          <w:rFonts w:eastAsia="Times New Roman" w:cs="Times New Roman"/>
          <w:color w:val="000000"/>
          <w:lang w:eastAsia="da-DK"/>
        </w:rPr>
        <w:t>v.</w:t>
      </w:r>
      <w:r>
        <w:rPr>
          <w:rFonts w:eastAsia="Times New Roman" w:cs="Times New Roman"/>
          <w:color w:val="000000"/>
          <w:lang w:eastAsia="da-DK"/>
        </w:rPr>
        <w:t>, herunder i elektroniske journaler, med henblik på at se oplysninger</w:t>
      </w:r>
      <w:r w:rsidRPr="00577043">
        <w:rPr>
          <w:rFonts w:eastAsia="Times New Roman" w:cs="Times New Roman"/>
          <w:color w:val="000000"/>
          <w:lang w:eastAsia="da-DK"/>
        </w:rPr>
        <w:t xml:space="preserve"> om forsøgspersonens helbredsforhold, som er nødvendige som led i egenkontrol med forskningsprojektet, herunder kvalitetskontrol og monitorering, som disse er forpligtet til at udføre. </w:t>
      </w:r>
    </w:p>
    <w:p w14:paraId="64B42612" w14:textId="77777777" w:rsidR="00043076" w:rsidRDefault="00043076" w:rsidP="00043076">
      <w:pPr>
        <w:rPr>
          <w:rFonts w:eastAsia="Times New Roman" w:cs="Times New Roman"/>
          <w:color w:val="000000"/>
          <w:lang w:eastAsia="da-DK"/>
        </w:rPr>
      </w:pPr>
      <w:r w:rsidRPr="00577043">
        <w:rPr>
          <w:rFonts w:eastAsia="Times New Roman" w:cs="Times New Roman"/>
          <w:color w:val="000000"/>
          <w:lang w:eastAsia="da-DK"/>
        </w:rPr>
        <w:t xml:space="preserve">Stk. 2. </w:t>
      </w:r>
      <w:r>
        <w:rPr>
          <w:rFonts w:eastAsia="Times New Roman" w:cs="Times New Roman"/>
          <w:color w:val="000000"/>
          <w:lang w:eastAsia="da-DK"/>
        </w:rPr>
        <w:t xml:space="preserve"> Udenlandske lægemiddelmyndighede kan foretage opslag i patientjournaler </w:t>
      </w:r>
      <w:r w:rsidRPr="00577043">
        <w:rPr>
          <w:rFonts w:eastAsia="Times New Roman" w:cs="Times New Roman"/>
          <w:color w:val="000000"/>
          <w:lang w:eastAsia="da-DK"/>
        </w:rPr>
        <w:t>m</w:t>
      </w:r>
      <w:r w:rsidR="00094421">
        <w:rPr>
          <w:rFonts w:eastAsia="Times New Roman" w:cs="Times New Roman"/>
          <w:color w:val="000000"/>
          <w:lang w:eastAsia="da-DK"/>
        </w:rPr>
        <w:t>.</w:t>
      </w:r>
      <w:r w:rsidRPr="00577043">
        <w:rPr>
          <w:rFonts w:eastAsia="Times New Roman" w:cs="Times New Roman"/>
          <w:color w:val="000000"/>
          <w:lang w:eastAsia="da-DK"/>
        </w:rPr>
        <w:t>v.</w:t>
      </w:r>
      <w:r>
        <w:rPr>
          <w:rFonts w:eastAsia="Times New Roman" w:cs="Times New Roman"/>
          <w:color w:val="000000"/>
          <w:lang w:eastAsia="da-DK"/>
        </w:rPr>
        <w:t>, herunder elektroniske journaler,</w:t>
      </w:r>
      <w:r w:rsidRPr="00577043">
        <w:rPr>
          <w:rFonts w:eastAsia="Times New Roman" w:cs="Times New Roman"/>
          <w:color w:val="000000"/>
          <w:lang w:eastAsia="da-DK"/>
        </w:rPr>
        <w:t xml:space="preserve"> </w:t>
      </w:r>
      <w:r>
        <w:rPr>
          <w:rFonts w:eastAsia="Times New Roman" w:cs="Times New Roman"/>
          <w:color w:val="000000"/>
          <w:lang w:eastAsia="da-DK"/>
        </w:rPr>
        <w:t xml:space="preserve">med henblik på at se oplysninger </w:t>
      </w:r>
      <w:r w:rsidRPr="00577043">
        <w:rPr>
          <w:rFonts w:eastAsia="Times New Roman" w:cs="Times New Roman"/>
          <w:color w:val="000000"/>
          <w:lang w:eastAsia="da-DK"/>
        </w:rPr>
        <w:t>om forsøgspersonens helbredsforhold, som er nødvendige</w:t>
      </w:r>
      <w:r>
        <w:rPr>
          <w:rFonts w:eastAsia="Times New Roman" w:cs="Times New Roman"/>
          <w:color w:val="000000"/>
          <w:lang w:eastAsia="da-DK"/>
        </w:rPr>
        <w:t xml:space="preserve">for de </w:t>
      </w:r>
      <w:r w:rsidRPr="00577043">
        <w:rPr>
          <w:rFonts w:eastAsia="Times New Roman" w:cs="Times New Roman"/>
          <w:color w:val="000000"/>
          <w:lang w:eastAsia="da-DK"/>
        </w:rPr>
        <w:t>udenlandske lægemiddelmyndigheder</w:t>
      </w:r>
      <w:r>
        <w:rPr>
          <w:rFonts w:eastAsia="Times New Roman" w:cs="Times New Roman"/>
          <w:color w:val="000000"/>
          <w:lang w:eastAsia="da-DK"/>
        </w:rPr>
        <w:t xml:space="preserve">s </w:t>
      </w:r>
      <w:r w:rsidRPr="00577043">
        <w:rPr>
          <w:rFonts w:eastAsia="Times New Roman" w:cs="Times New Roman"/>
          <w:color w:val="000000"/>
          <w:lang w:eastAsia="da-DK"/>
        </w:rPr>
        <w:t>kvalitetskontrol som led i en ansøgning om</w:t>
      </w:r>
      <w:r>
        <w:rPr>
          <w:rFonts w:eastAsia="Times New Roman" w:cs="Times New Roman"/>
          <w:color w:val="000000"/>
          <w:lang w:eastAsia="da-DK"/>
        </w:rPr>
        <w:t xml:space="preserve"> godkendelse af det pågældende lægemiddel.</w:t>
      </w:r>
    </w:p>
    <w:p w14:paraId="6E2560F8" w14:textId="77777777" w:rsidR="00043076" w:rsidRDefault="00043076" w:rsidP="00043076">
      <w:pPr>
        <w:rPr>
          <w:rFonts w:eastAsia="Times New Roman" w:cs="Times New Roman"/>
          <w:color w:val="000000"/>
          <w:lang w:eastAsia="da-DK"/>
        </w:rPr>
      </w:pPr>
      <w:r>
        <w:rPr>
          <w:rFonts w:eastAsia="Times New Roman" w:cs="Times New Roman"/>
          <w:color w:val="000000"/>
          <w:lang w:eastAsia="da-DK"/>
        </w:rPr>
        <w:t xml:space="preserve">   </w:t>
      </w:r>
    </w:p>
    <w:p w14:paraId="2B060188" w14:textId="77777777" w:rsidR="00B14B74" w:rsidRDefault="00B14B74" w:rsidP="00043076">
      <w:pPr>
        <w:rPr>
          <w:rFonts w:eastAsia="Times New Roman" w:cs="Times New Roman"/>
          <w:color w:val="000000"/>
          <w:lang w:eastAsia="da-DK"/>
        </w:rPr>
      </w:pPr>
    </w:p>
    <w:p w14:paraId="20758690" w14:textId="77777777" w:rsidR="00B14B74" w:rsidRPr="00577043" w:rsidRDefault="00B14B74" w:rsidP="00B14B74">
      <w:pPr>
        <w:jc w:val="center"/>
        <w:rPr>
          <w:rFonts w:eastAsia="Times New Roman" w:cs="Times New Roman"/>
          <w:color w:val="000000"/>
          <w:lang w:eastAsia="da-DK"/>
        </w:rPr>
      </w:pPr>
      <w:r w:rsidRPr="00577043">
        <w:rPr>
          <w:rFonts w:eastAsia="Times New Roman" w:cs="Times New Roman"/>
          <w:color w:val="000000"/>
          <w:lang w:eastAsia="da-DK"/>
        </w:rPr>
        <w:t xml:space="preserve">Kapitel </w:t>
      </w:r>
      <w:r>
        <w:rPr>
          <w:rFonts w:eastAsia="Times New Roman" w:cs="Times New Roman"/>
          <w:color w:val="000000"/>
          <w:lang w:eastAsia="da-DK"/>
        </w:rPr>
        <w:t>6</w:t>
      </w:r>
    </w:p>
    <w:p w14:paraId="57B81914" w14:textId="77777777" w:rsidR="00B14B74" w:rsidRPr="00577043" w:rsidRDefault="00B14B74" w:rsidP="00B14B74">
      <w:pPr>
        <w:jc w:val="center"/>
        <w:rPr>
          <w:rFonts w:eastAsia="Times New Roman" w:cs="Times New Roman"/>
          <w:color w:val="000000"/>
          <w:lang w:eastAsia="da-DK"/>
        </w:rPr>
      </w:pPr>
    </w:p>
    <w:p w14:paraId="4CA6FB24" w14:textId="77777777" w:rsidR="00043076" w:rsidRDefault="00043076" w:rsidP="00043076">
      <w:pPr>
        <w:keepNext/>
        <w:keepLines/>
        <w:jc w:val="center"/>
        <w:rPr>
          <w:rFonts w:eastAsia="Times New Roman" w:cs="Times New Roman"/>
          <w:color w:val="000000"/>
          <w:lang w:eastAsia="da-DK"/>
        </w:rPr>
      </w:pPr>
    </w:p>
    <w:p w14:paraId="3CFD7CFA" w14:textId="77777777" w:rsidR="00043076" w:rsidRPr="00577043" w:rsidRDefault="00043076" w:rsidP="00043076">
      <w:pPr>
        <w:pStyle w:val="Overskrift2"/>
        <w:rPr>
          <w:rFonts w:eastAsia="Times New Roman" w:cs="Times New Roman"/>
          <w:b w:val="0"/>
          <w:i/>
          <w:lang w:eastAsia="da-DK"/>
        </w:rPr>
      </w:pPr>
      <w:r w:rsidRPr="00577043">
        <w:rPr>
          <w:rFonts w:eastAsia="Times New Roman" w:cs="Times New Roman"/>
          <w:b w:val="0"/>
          <w:i/>
          <w:lang w:eastAsia="da-DK"/>
        </w:rPr>
        <w:t>Forsøgslægemidler</w:t>
      </w:r>
    </w:p>
    <w:p w14:paraId="63B0680C" w14:textId="77777777" w:rsidR="00043076" w:rsidRPr="00577043" w:rsidRDefault="00043076" w:rsidP="00043076">
      <w:pPr>
        <w:keepNext/>
        <w:keepLines/>
        <w:jc w:val="center"/>
        <w:rPr>
          <w:rFonts w:eastAsia="Times New Roman" w:cs="Times New Roman"/>
          <w:color w:val="000000"/>
          <w:lang w:eastAsia="da-DK"/>
        </w:rPr>
      </w:pPr>
    </w:p>
    <w:p w14:paraId="01947D6A" w14:textId="77777777" w:rsidR="00043076" w:rsidRPr="00577043" w:rsidRDefault="00043076" w:rsidP="00043076">
      <w:pPr>
        <w:keepNext/>
        <w:keepLines/>
        <w:rPr>
          <w:rFonts w:eastAsia="Times New Roman" w:cs="Times New Roman"/>
          <w:color w:val="000000"/>
          <w:lang w:eastAsia="da-DK"/>
        </w:rPr>
      </w:pPr>
      <w:r w:rsidRPr="00577043">
        <w:rPr>
          <w:rFonts w:eastAsia="Times New Roman" w:cs="Times New Roman"/>
          <w:b/>
          <w:color w:val="000000"/>
          <w:lang w:eastAsia="da-DK"/>
        </w:rPr>
        <w:t xml:space="preserve">   §</w:t>
      </w:r>
      <w:r w:rsidR="00C25846">
        <w:rPr>
          <w:rFonts w:eastAsia="Times New Roman" w:cs="Times New Roman"/>
          <w:b/>
          <w:color w:val="000000"/>
          <w:lang w:eastAsia="da-DK"/>
        </w:rPr>
        <w:t xml:space="preserve"> </w:t>
      </w:r>
      <w:r w:rsidR="00E34685">
        <w:rPr>
          <w:rFonts w:eastAsia="Times New Roman" w:cs="Times New Roman"/>
          <w:b/>
          <w:color w:val="000000"/>
          <w:lang w:eastAsia="da-DK"/>
        </w:rPr>
        <w:t>20</w:t>
      </w:r>
      <w:r w:rsidRPr="00577043">
        <w:rPr>
          <w:rFonts w:eastAsia="Times New Roman" w:cs="Times New Roman"/>
          <w:b/>
          <w:color w:val="000000"/>
          <w:lang w:eastAsia="da-DK"/>
        </w:rPr>
        <w:t>.</w:t>
      </w:r>
      <w:r w:rsidRPr="00577043">
        <w:rPr>
          <w:rFonts w:eastAsia="Times New Roman" w:cs="Times New Roman"/>
          <w:color w:val="000000"/>
          <w:lang w:eastAsia="da-DK"/>
        </w:rPr>
        <w:t xml:space="preserve"> </w:t>
      </w:r>
      <w:r>
        <w:rPr>
          <w:rFonts w:eastAsia="Times New Roman" w:cs="Times New Roman"/>
          <w:color w:val="000000"/>
          <w:lang w:eastAsia="da-DK"/>
        </w:rPr>
        <w:t>Lægemiddelstyrelsen</w:t>
      </w:r>
      <w:r w:rsidRPr="00577043">
        <w:rPr>
          <w:rFonts w:eastAsia="Times New Roman" w:cs="Times New Roman"/>
          <w:color w:val="000000"/>
          <w:lang w:eastAsia="da-DK"/>
        </w:rPr>
        <w:t xml:space="preserve"> kan dispensere fra kravet om, at forsøgspersoner skal have udleveret gratis forsøgslægemidler, </w:t>
      </w:r>
      <w:r>
        <w:rPr>
          <w:rFonts w:eastAsia="Times New Roman" w:cs="Times New Roman"/>
          <w:color w:val="000000"/>
          <w:lang w:eastAsia="da-DK"/>
        </w:rPr>
        <w:t xml:space="preserve">hjælpelægemidler, medicinsk udstyr samt </w:t>
      </w:r>
      <w:r w:rsidRPr="00577043">
        <w:rPr>
          <w:rFonts w:eastAsia="Times New Roman" w:cs="Times New Roman"/>
          <w:color w:val="000000"/>
          <w:lang w:eastAsia="da-DK"/>
        </w:rPr>
        <w:t>eventuelle anordninger, der anvendes til at indgive forsøgslægemidlerne, hvis  </w:t>
      </w:r>
    </w:p>
    <w:p w14:paraId="389BF1F2" w14:textId="77777777" w:rsidR="00043076" w:rsidRPr="00577043" w:rsidRDefault="00043076" w:rsidP="00043076">
      <w:pPr>
        <w:rPr>
          <w:rFonts w:eastAsia="Times New Roman" w:cs="Times New Roman"/>
          <w:color w:val="000000"/>
          <w:lang w:eastAsia="da-DK"/>
        </w:rPr>
      </w:pPr>
      <w:r w:rsidRPr="00577043">
        <w:rPr>
          <w:rFonts w:eastAsia="Times New Roman" w:cs="Times New Roman"/>
          <w:color w:val="000000"/>
          <w:lang w:eastAsia="da-DK"/>
        </w:rPr>
        <w:t xml:space="preserve">1) formålet med forsøget forspildes, såfremt </w:t>
      </w:r>
      <w:r>
        <w:rPr>
          <w:rFonts w:eastAsia="Times New Roman" w:cs="Times New Roman"/>
          <w:color w:val="000000"/>
          <w:lang w:eastAsia="da-DK"/>
        </w:rPr>
        <w:t>de</w:t>
      </w:r>
      <w:r w:rsidRPr="00577043">
        <w:rPr>
          <w:rFonts w:eastAsia="Times New Roman" w:cs="Times New Roman"/>
          <w:color w:val="000000"/>
          <w:lang w:eastAsia="da-DK"/>
        </w:rPr>
        <w:t xml:space="preserve"> udleveres gratis eller</w:t>
      </w:r>
    </w:p>
    <w:p w14:paraId="519DB1B9" w14:textId="77777777" w:rsidR="00043076" w:rsidRPr="00577043" w:rsidRDefault="00043076" w:rsidP="00043076">
      <w:pPr>
        <w:rPr>
          <w:rFonts w:eastAsia="Times New Roman" w:cs="Times New Roman"/>
          <w:color w:val="000000"/>
          <w:lang w:eastAsia="da-DK"/>
        </w:rPr>
      </w:pPr>
      <w:r w:rsidRPr="00577043">
        <w:rPr>
          <w:rFonts w:eastAsia="Times New Roman" w:cs="Times New Roman"/>
          <w:color w:val="000000"/>
          <w:lang w:eastAsia="da-DK"/>
        </w:rPr>
        <w:t xml:space="preserve">2) hvis </w:t>
      </w:r>
      <w:r>
        <w:rPr>
          <w:rFonts w:eastAsia="Times New Roman" w:cs="Times New Roman"/>
          <w:color w:val="000000"/>
          <w:lang w:eastAsia="da-DK"/>
        </w:rPr>
        <w:t>de</w:t>
      </w:r>
      <w:r w:rsidRPr="00577043">
        <w:rPr>
          <w:rFonts w:eastAsia="Times New Roman" w:cs="Times New Roman"/>
          <w:color w:val="000000"/>
          <w:lang w:eastAsia="da-DK"/>
        </w:rPr>
        <w:t xml:space="preserve"> anvendes til en indikation, der er omfattet af lægemidlets produktresumé, forsøgspersonen vil være i behandling med lægemidlet uanset deltagelse i forsøget, og forsøgspersonen selv betaler for lægemidlet.</w:t>
      </w:r>
    </w:p>
    <w:p w14:paraId="29B7DF39" w14:textId="77777777" w:rsidR="00043076" w:rsidRDefault="00043076" w:rsidP="00043076">
      <w:pPr>
        <w:rPr>
          <w:rFonts w:eastAsia="Times New Roman" w:cs="Times New Roman"/>
          <w:color w:val="000000"/>
          <w:lang w:eastAsia="da-DK"/>
        </w:rPr>
      </w:pPr>
      <w:r w:rsidRPr="00577043">
        <w:rPr>
          <w:rFonts w:eastAsia="Times New Roman" w:cs="Times New Roman"/>
          <w:color w:val="000000"/>
          <w:lang w:eastAsia="da-DK"/>
        </w:rPr>
        <w:t xml:space="preserve">   </w:t>
      </w:r>
      <w:r w:rsidRPr="00577043">
        <w:rPr>
          <w:rFonts w:eastAsia="Times New Roman" w:cs="Times New Roman"/>
          <w:i/>
          <w:color w:val="000000"/>
          <w:lang w:eastAsia="da-DK"/>
        </w:rPr>
        <w:t>Stk. 2.</w:t>
      </w:r>
      <w:r w:rsidRPr="00577043">
        <w:rPr>
          <w:rFonts w:eastAsia="Times New Roman" w:cs="Times New Roman"/>
          <w:color w:val="000000"/>
          <w:lang w:eastAsia="da-DK"/>
        </w:rPr>
        <w:t xml:space="preserve"> I forsøg, der foregår på et hospital, hvor forsøgspersonen i forvejen får lægemidlet </w:t>
      </w:r>
      <w:r>
        <w:rPr>
          <w:rFonts w:eastAsia="Times New Roman" w:cs="Times New Roman"/>
          <w:color w:val="000000"/>
          <w:lang w:eastAsia="da-DK"/>
        </w:rPr>
        <w:t>m</w:t>
      </w:r>
      <w:r w:rsidR="00094421">
        <w:rPr>
          <w:rFonts w:eastAsia="Times New Roman" w:cs="Times New Roman"/>
          <w:color w:val="000000"/>
          <w:lang w:eastAsia="da-DK"/>
        </w:rPr>
        <w:t>.</w:t>
      </w:r>
      <w:r>
        <w:rPr>
          <w:rFonts w:eastAsia="Times New Roman" w:cs="Times New Roman"/>
          <w:color w:val="000000"/>
          <w:lang w:eastAsia="da-DK"/>
        </w:rPr>
        <w:t xml:space="preserve">v. </w:t>
      </w:r>
      <w:r w:rsidRPr="00577043">
        <w:rPr>
          <w:rFonts w:eastAsia="Times New Roman" w:cs="Times New Roman"/>
          <w:color w:val="000000"/>
          <w:lang w:eastAsia="da-DK"/>
        </w:rPr>
        <w:t xml:space="preserve">gratis som led i behandlingen på et sygehus, kan sponsor indgå en aftale med sygehuset om, at sygehuset afholder udgifterne til lægemidlet </w:t>
      </w:r>
      <w:r>
        <w:rPr>
          <w:rFonts w:eastAsia="Times New Roman" w:cs="Times New Roman"/>
          <w:color w:val="000000"/>
          <w:lang w:eastAsia="da-DK"/>
        </w:rPr>
        <w:t>m</w:t>
      </w:r>
      <w:r w:rsidR="00094421">
        <w:rPr>
          <w:rFonts w:eastAsia="Times New Roman" w:cs="Times New Roman"/>
          <w:color w:val="000000"/>
          <w:lang w:eastAsia="da-DK"/>
        </w:rPr>
        <w:t>.</w:t>
      </w:r>
      <w:r>
        <w:rPr>
          <w:rFonts w:eastAsia="Times New Roman" w:cs="Times New Roman"/>
          <w:color w:val="000000"/>
          <w:lang w:eastAsia="da-DK"/>
        </w:rPr>
        <w:t xml:space="preserve">v. </w:t>
      </w:r>
      <w:r w:rsidRPr="00577043">
        <w:rPr>
          <w:rFonts w:eastAsia="Times New Roman" w:cs="Times New Roman"/>
          <w:color w:val="000000"/>
          <w:lang w:eastAsia="da-DK"/>
        </w:rPr>
        <w:t>i forbindelse med forsøget.</w:t>
      </w:r>
    </w:p>
    <w:p w14:paraId="0DFB5F75" w14:textId="77777777" w:rsidR="00043076" w:rsidRDefault="00043076" w:rsidP="00043076">
      <w:pPr>
        <w:rPr>
          <w:rFonts w:eastAsia="Times New Roman" w:cs="Times New Roman"/>
          <w:color w:val="000000"/>
          <w:lang w:eastAsia="da-DK"/>
        </w:rPr>
      </w:pPr>
    </w:p>
    <w:p w14:paraId="7F89C57F" w14:textId="77777777" w:rsidR="00043076" w:rsidRPr="00577043" w:rsidRDefault="00043076" w:rsidP="00043076">
      <w:pPr>
        <w:rPr>
          <w:rFonts w:eastAsia="Times New Roman" w:cs="Times New Roman"/>
          <w:color w:val="000000"/>
          <w:lang w:eastAsia="da-DK"/>
        </w:rPr>
      </w:pPr>
      <w:r w:rsidRPr="00577043">
        <w:rPr>
          <w:rFonts w:eastAsia="Times New Roman" w:cs="Times New Roman"/>
          <w:b/>
          <w:color w:val="000000"/>
          <w:lang w:eastAsia="da-DK"/>
        </w:rPr>
        <w:t xml:space="preserve">  § </w:t>
      </w:r>
      <w:r w:rsidR="00E34685">
        <w:rPr>
          <w:rFonts w:eastAsia="Times New Roman" w:cs="Times New Roman"/>
          <w:b/>
          <w:color w:val="000000"/>
          <w:lang w:eastAsia="da-DK"/>
        </w:rPr>
        <w:t>21</w:t>
      </w:r>
      <w:r w:rsidRPr="00577043">
        <w:rPr>
          <w:rFonts w:eastAsia="Times New Roman" w:cs="Times New Roman"/>
          <w:b/>
          <w:color w:val="000000"/>
          <w:lang w:eastAsia="da-DK"/>
        </w:rPr>
        <w:t>.</w:t>
      </w:r>
      <w:r w:rsidRPr="00577043">
        <w:rPr>
          <w:rFonts w:eastAsia="Times New Roman" w:cs="Times New Roman"/>
          <w:color w:val="000000"/>
          <w:lang w:eastAsia="da-DK"/>
        </w:rPr>
        <w:t xml:space="preserve"> Sundheds- og ældreministeren fastsætter nærmere regler om krav til sprog på etiketter. </w:t>
      </w:r>
    </w:p>
    <w:p w14:paraId="636A899A" w14:textId="77777777" w:rsidR="00D010EE" w:rsidRPr="00577043" w:rsidRDefault="00CE0897" w:rsidP="00CB2276">
      <w:pPr>
        <w:rPr>
          <w:rFonts w:eastAsia="Times New Roman" w:cs="Times New Roman"/>
          <w:color w:val="000000"/>
          <w:lang w:eastAsia="da-DK"/>
        </w:rPr>
      </w:pPr>
      <w:r w:rsidRPr="00577043">
        <w:rPr>
          <w:rFonts w:eastAsia="Times New Roman" w:cs="Times New Roman"/>
          <w:b/>
          <w:color w:val="000000"/>
          <w:lang w:eastAsia="da-DK"/>
        </w:rPr>
        <w:t xml:space="preserve"> </w:t>
      </w:r>
    </w:p>
    <w:p w14:paraId="092DCB84" w14:textId="77777777" w:rsidR="00D51CAD" w:rsidRDefault="00D51CAD" w:rsidP="00CB2276">
      <w:pPr>
        <w:rPr>
          <w:rFonts w:eastAsia="Times New Roman" w:cs="Times New Roman"/>
          <w:b/>
          <w:color w:val="000000"/>
          <w:lang w:eastAsia="da-DK"/>
        </w:rPr>
      </w:pPr>
    </w:p>
    <w:p w14:paraId="3CE53004" w14:textId="77777777" w:rsidR="009A71EF" w:rsidRPr="00577043" w:rsidRDefault="009A71EF" w:rsidP="00CB2276">
      <w:pPr>
        <w:rPr>
          <w:rFonts w:eastAsia="Times New Roman" w:cs="Times New Roman"/>
          <w:b/>
          <w:color w:val="000000"/>
          <w:lang w:eastAsia="da-DK"/>
        </w:rPr>
      </w:pPr>
    </w:p>
    <w:p w14:paraId="3F6FD19C" w14:textId="77777777" w:rsidR="0010480F" w:rsidRPr="00577043" w:rsidRDefault="00BE55CD" w:rsidP="00CB2276">
      <w:pPr>
        <w:jc w:val="center"/>
        <w:rPr>
          <w:rFonts w:eastAsia="Times New Roman" w:cs="Times New Roman"/>
          <w:b/>
          <w:color w:val="000000"/>
          <w:lang w:eastAsia="da-DK"/>
        </w:rPr>
      </w:pPr>
      <w:r w:rsidRPr="00577043">
        <w:rPr>
          <w:rFonts w:eastAsia="Times New Roman" w:cs="Times New Roman"/>
          <w:b/>
          <w:color w:val="000000"/>
          <w:lang w:eastAsia="da-DK"/>
        </w:rPr>
        <w:t>Afsnit I</w:t>
      </w:r>
      <w:r w:rsidR="00434E2A">
        <w:rPr>
          <w:rFonts w:eastAsia="Times New Roman" w:cs="Times New Roman"/>
          <w:b/>
          <w:color w:val="000000"/>
          <w:lang w:eastAsia="da-DK"/>
        </w:rPr>
        <w:t>II</w:t>
      </w:r>
    </w:p>
    <w:p w14:paraId="3FC92470" w14:textId="77777777" w:rsidR="002805DB" w:rsidRPr="00577043" w:rsidRDefault="002805DB" w:rsidP="00CB2276">
      <w:pPr>
        <w:jc w:val="center"/>
        <w:rPr>
          <w:rFonts w:eastAsia="Times New Roman" w:cs="Times New Roman"/>
          <w:b/>
          <w:color w:val="000000"/>
          <w:lang w:eastAsia="da-DK"/>
        </w:rPr>
      </w:pPr>
    </w:p>
    <w:p w14:paraId="2287C391" w14:textId="77777777" w:rsidR="002805DB" w:rsidRPr="00577043" w:rsidRDefault="002805DB" w:rsidP="00CB2276">
      <w:pPr>
        <w:jc w:val="center"/>
        <w:rPr>
          <w:rFonts w:eastAsia="Times New Roman" w:cs="Times New Roman"/>
          <w:b/>
          <w:color w:val="000000"/>
          <w:lang w:eastAsia="da-DK"/>
        </w:rPr>
      </w:pPr>
    </w:p>
    <w:p w14:paraId="4D665436" w14:textId="77777777" w:rsidR="00DA39B3" w:rsidRPr="00577043" w:rsidRDefault="00DA39B3" w:rsidP="002E3A4C">
      <w:pPr>
        <w:pStyle w:val="Overskrift2"/>
        <w:rPr>
          <w:rFonts w:eastAsia="Times New Roman" w:cs="Times New Roman"/>
          <w:lang w:eastAsia="da-DK"/>
        </w:rPr>
      </w:pPr>
      <w:r w:rsidRPr="00577043">
        <w:rPr>
          <w:rFonts w:eastAsia="Times New Roman" w:cs="Times New Roman"/>
          <w:lang w:eastAsia="da-DK"/>
        </w:rPr>
        <w:t xml:space="preserve">Kliniske forsøg </w:t>
      </w:r>
      <w:r w:rsidR="00123FE0">
        <w:rPr>
          <w:rFonts w:eastAsia="Times New Roman" w:cs="Times New Roman"/>
          <w:lang w:eastAsia="da-DK"/>
        </w:rPr>
        <w:t xml:space="preserve">med lægemidler </w:t>
      </w:r>
      <w:r w:rsidRPr="00577043">
        <w:rPr>
          <w:rFonts w:eastAsia="Times New Roman" w:cs="Times New Roman"/>
          <w:lang w:eastAsia="da-DK"/>
        </w:rPr>
        <w:t>på dyr</w:t>
      </w:r>
    </w:p>
    <w:p w14:paraId="69B980D8" w14:textId="77777777" w:rsidR="00DA39B3" w:rsidRPr="00577043" w:rsidRDefault="00DA39B3" w:rsidP="00CB2276">
      <w:pPr>
        <w:jc w:val="center"/>
        <w:rPr>
          <w:rFonts w:eastAsia="Times New Roman" w:cs="Times New Roman"/>
          <w:color w:val="000000"/>
          <w:lang w:eastAsia="da-DK"/>
        </w:rPr>
      </w:pPr>
    </w:p>
    <w:p w14:paraId="0C90C786" w14:textId="77777777" w:rsidR="00BE55CD" w:rsidRPr="00577043" w:rsidRDefault="00184755" w:rsidP="00CB2276">
      <w:pPr>
        <w:jc w:val="center"/>
        <w:rPr>
          <w:rFonts w:eastAsia="Times New Roman" w:cs="Times New Roman"/>
          <w:color w:val="000000"/>
          <w:lang w:eastAsia="da-DK"/>
        </w:rPr>
      </w:pPr>
      <w:r w:rsidRPr="00577043">
        <w:rPr>
          <w:rFonts w:eastAsia="Times New Roman" w:cs="Times New Roman"/>
          <w:color w:val="000000"/>
          <w:lang w:eastAsia="da-DK"/>
        </w:rPr>
        <w:t>Kapitel 7</w:t>
      </w:r>
    </w:p>
    <w:p w14:paraId="2943061F" w14:textId="77777777" w:rsidR="00BE55CD" w:rsidRPr="00577043" w:rsidRDefault="00BE55CD" w:rsidP="00CB2276">
      <w:pPr>
        <w:jc w:val="center"/>
        <w:rPr>
          <w:rFonts w:eastAsia="Times New Roman" w:cs="Times New Roman"/>
          <w:color w:val="000000"/>
          <w:lang w:eastAsia="da-DK"/>
        </w:rPr>
      </w:pPr>
    </w:p>
    <w:p w14:paraId="0B4E8DB6" w14:textId="77777777" w:rsidR="00BE55CD" w:rsidRPr="00577043" w:rsidRDefault="00BE55CD" w:rsidP="00CB2276">
      <w:pPr>
        <w:jc w:val="center"/>
        <w:rPr>
          <w:rFonts w:eastAsia="Times New Roman" w:cs="Times New Roman"/>
          <w:i/>
          <w:color w:val="000000"/>
          <w:lang w:eastAsia="da-DK"/>
        </w:rPr>
      </w:pPr>
      <w:r w:rsidRPr="00577043">
        <w:rPr>
          <w:rFonts w:eastAsia="Times New Roman" w:cs="Times New Roman"/>
          <w:i/>
          <w:color w:val="000000"/>
          <w:lang w:eastAsia="da-DK"/>
        </w:rPr>
        <w:lastRenderedPageBreak/>
        <w:t>Ansøgning, indberetning</w:t>
      </w:r>
    </w:p>
    <w:p w14:paraId="5F9F264E" w14:textId="77777777" w:rsidR="00BE55CD" w:rsidRPr="00577043" w:rsidRDefault="00BE55CD" w:rsidP="00CB2276">
      <w:pPr>
        <w:rPr>
          <w:rFonts w:eastAsia="Times New Roman" w:cs="Times New Roman"/>
          <w:b/>
          <w:color w:val="000000"/>
          <w:lang w:eastAsia="da-DK"/>
        </w:rPr>
      </w:pPr>
    </w:p>
    <w:p w14:paraId="778D5819" w14:textId="77777777" w:rsidR="00DA39B3" w:rsidRPr="00577043" w:rsidRDefault="00CE0897" w:rsidP="00CB2276">
      <w:pPr>
        <w:rPr>
          <w:rFonts w:eastAsia="Times New Roman" w:cs="Times New Roman"/>
          <w:color w:val="000000"/>
          <w:lang w:eastAsia="da-DK"/>
        </w:rPr>
      </w:pPr>
      <w:r w:rsidRPr="00577043">
        <w:rPr>
          <w:rFonts w:eastAsia="Times New Roman" w:cs="Times New Roman"/>
          <w:b/>
          <w:color w:val="000000"/>
          <w:lang w:eastAsia="da-DK"/>
        </w:rPr>
        <w:t xml:space="preserve">   </w:t>
      </w:r>
      <w:r w:rsidR="00A20515" w:rsidRPr="00577043">
        <w:rPr>
          <w:rFonts w:eastAsia="Times New Roman" w:cs="Times New Roman"/>
          <w:b/>
          <w:color w:val="000000"/>
          <w:lang w:eastAsia="da-DK"/>
        </w:rPr>
        <w:t xml:space="preserve">§ </w:t>
      </w:r>
      <w:r w:rsidR="00F9344C">
        <w:rPr>
          <w:rFonts w:eastAsia="Times New Roman" w:cs="Times New Roman"/>
          <w:b/>
          <w:color w:val="000000"/>
          <w:lang w:eastAsia="da-DK"/>
        </w:rPr>
        <w:t>22</w:t>
      </w:r>
      <w:r w:rsidR="00DA39B3" w:rsidRPr="00577043">
        <w:rPr>
          <w:rFonts w:eastAsia="Times New Roman" w:cs="Times New Roman"/>
          <w:b/>
          <w:color w:val="000000"/>
          <w:lang w:eastAsia="da-DK"/>
        </w:rPr>
        <w:t>.</w:t>
      </w:r>
      <w:r w:rsidR="00DA39B3" w:rsidRPr="00577043">
        <w:rPr>
          <w:rFonts w:eastAsia="Times New Roman" w:cs="Times New Roman"/>
          <w:color w:val="000000"/>
          <w:lang w:eastAsia="da-DK"/>
        </w:rPr>
        <w:t xml:space="preserve"> Et klinisk forsøg med lægemidler på dyr må kun udføres, når </w:t>
      </w:r>
      <w:r w:rsidR="0058651B">
        <w:rPr>
          <w:rFonts w:eastAsia="Times New Roman" w:cs="Times New Roman"/>
          <w:color w:val="000000"/>
          <w:lang w:eastAsia="da-DK"/>
        </w:rPr>
        <w:t>Lægemiddelstyrelsen</w:t>
      </w:r>
      <w:r w:rsidR="00DA39B3" w:rsidRPr="00577043">
        <w:rPr>
          <w:rFonts w:eastAsia="Times New Roman" w:cs="Times New Roman"/>
          <w:color w:val="000000"/>
          <w:lang w:eastAsia="da-DK"/>
        </w:rPr>
        <w:t xml:space="preserve"> har givet tilladelse til forsøget i henhold til reglerne i denne lov.</w:t>
      </w:r>
    </w:p>
    <w:p w14:paraId="0479A827" w14:textId="77777777" w:rsidR="00DA39B3" w:rsidRPr="00577043" w:rsidRDefault="00DA39B3" w:rsidP="00CB2276">
      <w:pPr>
        <w:rPr>
          <w:rFonts w:eastAsia="Times New Roman" w:cs="Times New Roman"/>
          <w:color w:val="000000"/>
          <w:lang w:eastAsia="da-DK"/>
        </w:rPr>
      </w:pPr>
    </w:p>
    <w:p w14:paraId="4A349764" w14:textId="77777777" w:rsidR="00DA39B3" w:rsidRPr="00577043" w:rsidRDefault="00CE0897" w:rsidP="00CB2276">
      <w:pPr>
        <w:rPr>
          <w:rFonts w:eastAsia="Times New Roman" w:cs="Times New Roman"/>
          <w:color w:val="000000"/>
          <w:lang w:eastAsia="da-DK"/>
        </w:rPr>
      </w:pPr>
      <w:r w:rsidRPr="00577043">
        <w:rPr>
          <w:rFonts w:eastAsia="Times New Roman" w:cs="Times New Roman"/>
          <w:b/>
          <w:color w:val="000000"/>
          <w:lang w:eastAsia="da-DK"/>
        </w:rPr>
        <w:t xml:space="preserve">   </w:t>
      </w:r>
      <w:r w:rsidR="00A20515" w:rsidRPr="00577043">
        <w:rPr>
          <w:rFonts w:eastAsia="Times New Roman" w:cs="Times New Roman"/>
          <w:b/>
          <w:color w:val="000000"/>
          <w:lang w:eastAsia="da-DK"/>
        </w:rPr>
        <w:t xml:space="preserve">§ </w:t>
      </w:r>
      <w:r w:rsidR="00E34685">
        <w:rPr>
          <w:rFonts w:eastAsia="Times New Roman" w:cs="Times New Roman"/>
          <w:b/>
          <w:color w:val="000000"/>
          <w:lang w:eastAsia="da-DK"/>
        </w:rPr>
        <w:t>2</w:t>
      </w:r>
      <w:r w:rsidR="00F9344C">
        <w:rPr>
          <w:rFonts w:eastAsia="Times New Roman" w:cs="Times New Roman"/>
          <w:b/>
          <w:color w:val="000000"/>
          <w:lang w:eastAsia="da-DK"/>
        </w:rPr>
        <w:t>3</w:t>
      </w:r>
      <w:r w:rsidR="00DA39B3" w:rsidRPr="00577043">
        <w:rPr>
          <w:rFonts w:eastAsia="Times New Roman" w:cs="Times New Roman"/>
          <w:b/>
          <w:color w:val="000000"/>
          <w:lang w:eastAsia="da-DK"/>
        </w:rPr>
        <w:t>.</w:t>
      </w:r>
      <w:r w:rsidR="00DA39B3" w:rsidRPr="00577043">
        <w:rPr>
          <w:rFonts w:eastAsia="Times New Roman" w:cs="Times New Roman"/>
          <w:color w:val="000000"/>
          <w:lang w:eastAsia="da-DK"/>
        </w:rPr>
        <w:t xml:space="preserve"> Ansøgning om tilladelse til et klinisk forsøg på dyr skal indgives til </w:t>
      </w:r>
      <w:r w:rsidR="0058651B">
        <w:rPr>
          <w:rFonts w:eastAsia="Times New Roman" w:cs="Times New Roman"/>
          <w:color w:val="000000"/>
          <w:lang w:eastAsia="da-DK"/>
        </w:rPr>
        <w:t>Lægemiddelstyrelsen</w:t>
      </w:r>
      <w:r w:rsidR="00DA39B3" w:rsidRPr="00577043">
        <w:rPr>
          <w:rFonts w:eastAsia="Times New Roman" w:cs="Times New Roman"/>
          <w:color w:val="000000"/>
          <w:lang w:eastAsia="da-DK"/>
        </w:rPr>
        <w:t xml:space="preserve"> af den person, virksomhed eller institution, der påtager sig ansvaret for igangsætning, ledelse og eventuelt finansiering af et klinisk forsøg (sponsor).</w:t>
      </w:r>
      <w:r w:rsidR="00DA39B3" w:rsidRPr="00577043">
        <w:rPr>
          <w:rFonts w:eastAsia="Times New Roman" w:cs="Times New Roman"/>
          <w:color w:val="000000"/>
          <w:lang w:eastAsia="da-DK"/>
        </w:rPr>
        <w:br/>
      </w:r>
      <w:r w:rsidRPr="00577043">
        <w:rPr>
          <w:rFonts w:eastAsia="Times New Roman" w:cs="Times New Roman"/>
          <w:color w:val="000000"/>
          <w:lang w:eastAsia="da-DK"/>
        </w:rPr>
        <w:t xml:space="preserve">   </w:t>
      </w:r>
      <w:r w:rsidR="00DA39B3" w:rsidRPr="00577043">
        <w:rPr>
          <w:rFonts w:eastAsia="Times New Roman" w:cs="Times New Roman"/>
          <w:i/>
          <w:color w:val="000000"/>
          <w:lang w:eastAsia="da-DK"/>
        </w:rPr>
        <w:t>Stk. 2.</w:t>
      </w:r>
      <w:r w:rsidR="00DA39B3" w:rsidRPr="00577043">
        <w:rPr>
          <w:rFonts w:eastAsia="Times New Roman" w:cs="Times New Roman"/>
          <w:color w:val="000000"/>
          <w:lang w:eastAsia="da-DK"/>
        </w:rPr>
        <w:t> </w:t>
      </w:r>
      <w:r w:rsidR="00A22EAD" w:rsidRPr="00577043">
        <w:rPr>
          <w:rFonts w:eastAsia="Times New Roman" w:cs="Times New Roman"/>
          <w:color w:val="000000"/>
          <w:lang w:eastAsia="da-DK"/>
        </w:rPr>
        <w:t>Sundheds- og ældreministeren</w:t>
      </w:r>
      <w:r w:rsidR="00DA39B3" w:rsidRPr="00577043">
        <w:rPr>
          <w:rFonts w:eastAsia="Times New Roman" w:cs="Times New Roman"/>
          <w:color w:val="000000"/>
          <w:lang w:eastAsia="da-DK"/>
        </w:rPr>
        <w:t xml:space="preserve"> kan fastsætte nærmere regler om</w:t>
      </w:r>
      <w:r w:rsidR="00DE2590">
        <w:rPr>
          <w:rFonts w:eastAsia="Times New Roman" w:cs="Times New Roman"/>
          <w:color w:val="000000"/>
          <w:lang w:eastAsia="da-DK"/>
        </w:rPr>
        <w:t xml:space="preserve"> tidsfrister</w:t>
      </w:r>
      <w:r w:rsidR="00DA39B3" w:rsidRPr="00577043">
        <w:rPr>
          <w:rFonts w:eastAsia="Times New Roman" w:cs="Times New Roman"/>
          <w:color w:val="000000"/>
          <w:lang w:eastAsia="da-DK"/>
        </w:rPr>
        <w:t xml:space="preserve">, hvilke oplysninger ansøgninger om tilladelse til kliniske forsøg med dyr skal indeholde og om </w:t>
      </w:r>
      <w:r w:rsidR="0058651B">
        <w:rPr>
          <w:rFonts w:eastAsia="Times New Roman" w:cs="Times New Roman"/>
          <w:color w:val="000000"/>
          <w:lang w:eastAsia="da-DK"/>
        </w:rPr>
        <w:t>Lægemiddelstyrelsen</w:t>
      </w:r>
      <w:r w:rsidR="00DA39B3" w:rsidRPr="00577043">
        <w:rPr>
          <w:rFonts w:eastAsia="Times New Roman" w:cs="Times New Roman"/>
          <w:color w:val="000000"/>
          <w:lang w:eastAsia="da-DK"/>
        </w:rPr>
        <w:t>s behandling af sådanne ansøgninger.</w:t>
      </w:r>
    </w:p>
    <w:p w14:paraId="5EA0AC25" w14:textId="77777777" w:rsidR="00DA39B3" w:rsidRPr="00577043" w:rsidRDefault="00DA39B3" w:rsidP="00CB2276">
      <w:pPr>
        <w:rPr>
          <w:rFonts w:eastAsia="Times New Roman" w:cs="Times New Roman"/>
          <w:color w:val="000000"/>
          <w:lang w:eastAsia="da-DK"/>
        </w:rPr>
      </w:pPr>
    </w:p>
    <w:p w14:paraId="54F8F8F5" w14:textId="77777777" w:rsidR="00DA39B3" w:rsidRPr="00577043" w:rsidRDefault="00CE0897" w:rsidP="00CB2276">
      <w:pPr>
        <w:rPr>
          <w:rFonts w:eastAsia="Times New Roman" w:cs="Times New Roman"/>
          <w:color w:val="000000"/>
          <w:lang w:eastAsia="da-DK"/>
        </w:rPr>
      </w:pPr>
      <w:r w:rsidRPr="00577043">
        <w:rPr>
          <w:rFonts w:eastAsia="Times New Roman" w:cs="Times New Roman"/>
          <w:b/>
          <w:color w:val="000000"/>
          <w:lang w:eastAsia="da-DK"/>
        </w:rPr>
        <w:t xml:space="preserve">   </w:t>
      </w:r>
      <w:r w:rsidR="00A20515" w:rsidRPr="00577043">
        <w:rPr>
          <w:rFonts w:eastAsia="Times New Roman" w:cs="Times New Roman"/>
          <w:b/>
          <w:color w:val="000000"/>
          <w:lang w:eastAsia="da-DK"/>
        </w:rPr>
        <w:t xml:space="preserve">§ </w:t>
      </w:r>
      <w:r w:rsidR="00F9344C">
        <w:rPr>
          <w:rFonts w:eastAsia="Times New Roman" w:cs="Times New Roman"/>
          <w:b/>
          <w:color w:val="000000"/>
          <w:lang w:eastAsia="da-DK"/>
        </w:rPr>
        <w:t>24</w:t>
      </w:r>
      <w:r w:rsidR="00DA39B3" w:rsidRPr="00577043">
        <w:rPr>
          <w:rFonts w:eastAsia="Times New Roman" w:cs="Times New Roman"/>
          <w:b/>
          <w:color w:val="000000"/>
          <w:lang w:eastAsia="da-DK"/>
        </w:rPr>
        <w:t>.</w:t>
      </w:r>
      <w:r w:rsidR="00DA39B3" w:rsidRPr="00577043">
        <w:rPr>
          <w:rFonts w:eastAsia="Times New Roman" w:cs="Times New Roman"/>
          <w:color w:val="000000"/>
          <w:lang w:eastAsia="da-DK"/>
        </w:rPr>
        <w:t xml:space="preserve"> Sponsor eller dennes repræsentant skal have bopæl i et EU/EØS-land. </w:t>
      </w:r>
    </w:p>
    <w:p w14:paraId="6E73AFF5" w14:textId="77777777" w:rsidR="00DA39B3" w:rsidRPr="00577043" w:rsidRDefault="00DA39B3" w:rsidP="00CB2276">
      <w:pPr>
        <w:rPr>
          <w:rFonts w:eastAsia="Times New Roman" w:cs="Times New Roman"/>
          <w:color w:val="000000"/>
          <w:lang w:eastAsia="da-DK"/>
        </w:rPr>
      </w:pPr>
    </w:p>
    <w:p w14:paraId="67324BDA" w14:textId="77777777" w:rsidR="00DA39B3" w:rsidRPr="00577043" w:rsidRDefault="00CE0897" w:rsidP="00CB2276">
      <w:pPr>
        <w:rPr>
          <w:rFonts w:eastAsia="Times New Roman" w:cs="Times New Roman"/>
          <w:color w:val="000000"/>
          <w:lang w:eastAsia="da-DK"/>
        </w:rPr>
      </w:pPr>
      <w:r w:rsidRPr="00577043">
        <w:rPr>
          <w:rFonts w:eastAsia="Times New Roman" w:cs="Times New Roman"/>
          <w:b/>
          <w:color w:val="000000"/>
          <w:lang w:eastAsia="da-DK"/>
        </w:rPr>
        <w:t xml:space="preserve">   </w:t>
      </w:r>
      <w:r w:rsidR="00A20515" w:rsidRPr="00577043">
        <w:rPr>
          <w:rFonts w:eastAsia="Times New Roman" w:cs="Times New Roman"/>
          <w:b/>
          <w:color w:val="000000"/>
          <w:lang w:eastAsia="da-DK"/>
        </w:rPr>
        <w:t xml:space="preserve">§ </w:t>
      </w:r>
      <w:r w:rsidR="00F9344C">
        <w:rPr>
          <w:rFonts w:eastAsia="Times New Roman" w:cs="Times New Roman"/>
          <w:b/>
          <w:color w:val="000000"/>
          <w:lang w:eastAsia="da-DK"/>
        </w:rPr>
        <w:t>25</w:t>
      </w:r>
      <w:r w:rsidR="00DA39B3" w:rsidRPr="00577043">
        <w:rPr>
          <w:rFonts w:eastAsia="Times New Roman" w:cs="Times New Roman"/>
          <w:b/>
          <w:color w:val="000000"/>
          <w:lang w:eastAsia="da-DK"/>
        </w:rPr>
        <w:t>.</w:t>
      </w:r>
      <w:r w:rsidR="00DA39B3" w:rsidRPr="00577043">
        <w:rPr>
          <w:rFonts w:eastAsia="Times New Roman" w:cs="Times New Roman"/>
          <w:color w:val="000000"/>
          <w:lang w:eastAsia="da-DK"/>
        </w:rPr>
        <w:t xml:space="preserve"> Hvis </w:t>
      </w:r>
      <w:r w:rsidR="0058651B">
        <w:rPr>
          <w:rFonts w:eastAsia="Times New Roman" w:cs="Times New Roman"/>
          <w:color w:val="000000"/>
          <w:lang w:eastAsia="da-DK"/>
        </w:rPr>
        <w:t>Lægemiddelstyrelsen</w:t>
      </w:r>
      <w:r w:rsidR="00DA39B3" w:rsidRPr="00577043">
        <w:rPr>
          <w:rFonts w:eastAsia="Times New Roman" w:cs="Times New Roman"/>
          <w:color w:val="000000"/>
          <w:lang w:eastAsia="da-DK"/>
        </w:rPr>
        <w:t xml:space="preserve"> har en begrundet indsigelse mod et klinisk forsøg med dyr, kan sponsor én gang ændre ansøgningen for at tage hensyn til indsigelsen. Ændres ansøgningen ikke i overensstemmelse med indsigelsen, afvises ansøgningen.</w:t>
      </w:r>
    </w:p>
    <w:p w14:paraId="0F94E229" w14:textId="77777777" w:rsidR="00DA39B3" w:rsidRPr="00577043" w:rsidRDefault="00A20515" w:rsidP="00CB2276">
      <w:pPr>
        <w:rPr>
          <w:rFonts w:eastAsia="Times New Roman" w:cs="Times New Roman"/>
          <w:color w:val="000000"/>
          <w:lang w:eastAsia="da-DK"/>
        </w:rPr>
      </w:pPr>
      <w:r w:rsidRPr="00577043">
        <w:rPr>
          <w:rFonts w:eastAsia="Times New Roman" w:cs="Times New Roman"/>
          <w:i/>
          <w:color w:val="000000"/>
          <w:lang w:eastAsia="da-DK"/>
        </w:rPr>
        <w:t xml:space="preserve">   </w:t>
      </w:r>
      <w:r w:rsidR="00DA39B3" w:rsidRPr="00577043">
        <w:rPr>
          <w:rFonts w:eastAsia="Times New Roman" w:cs="Times New Roman"/>
          <w:i/>
          <w:color w:val="000000"/>
          <w:lang w:eastAsia="da-DK"/>
        </w:rPr>
        <w:t>Stk. 2.</w:t>
      </w:r>
      <w:r w:rsidR="00DA39B3" w:rsidRPr="00577043">
        <w:rPr>
          <w:rFonts w:eastAsia="Times New Roman" w:cs="Times New Roman"/>
          <w:color w:val="000000"/>
          <w:lang w:eastAsia="da-DK"/>
        </w:rPr>
        <w:t xml:space="preserve"> </w:t>
      </w:r>
      <w:r w:rsidR="0058651B">
        <w:rPr>
          <w:rFonts w:eastAsia="Times New Roman" w:cs="Times New Roman"/>
          <w:color w:val="000000"/>
          <w:lang w:eastAsia="da-DK"/>
        </w:rPr>
        <w:t>Lægemiddelstyrelsen</w:t>
      </w:r>
      <w:r w:rsidR="00DA39B3" w:rsidRPr="00577043">
        <w:rPr>
          <w:rFonts w:eastAsia="Times New Roman" w:cs="Times New Roman"/>
          <w:color w:val="000000"/>
          <w:lang w:eastAsia="da-DK"/>
        </w:rPr>
        <w:t xml:space="preserve"> kan over for sponsor og dyrlæge, der er ansvarlig for forsøgets praktiske gennemførelse (investigator), stille vilkår for forsøget.</w:t>
      </w:r>
      <w:r w:rsidR="00DA39B3" w:rsidRPr="00577043">
        <w:rPr>
          <w:rFonts w:eastAsia="Times New Roman" w:cs="Times New Roman"/>
          <w:color w:val="000000"/>
          <w:lang w:eastAsia="da-DK"/>
        </w:rPr>
        <w:br/>
      </w:r>
    </w:p>
    <w:p w14:paraId="5DB4EAF3" w14:textId="77777777" w:rsidR="00DA39B3" w:rsidRPr="00577043" w:rsidRDefault="00CE0897" w:rsidP="00CB2276">
      <w:pPr>
        <w:rPr>
          <w:rFonts w:eastAsia="Times New Roman" w:cs="Times New Roman"/>
          <w:color w:val="000000"/>
          <w:lang w:eastAsia="da-DK"/>
        </w:rPr>
      </w:pPr>
      <w:r w:rsidRPr="00577043">
        <w:rPr>
          <w:rFonts w:eastAsia="Times New Roman" w:cs="Times New Roman"/>
          <w:b/>
          <w:color w:val="000000"/>
          <w:lang w:eastAsia="da-DK"/>
        </w:rPr>
        <w:t xml:space="preserve">   </w:t>
      </w:r>
      <w:r w:rsidR="00A20515" w:rsidRPr="00577043">
        <w:rPr>
          <w:rFonts w:eastAsia="Times New Roman" w:cs="Times New Roman"/>
          <w:b/>
          <w:color w:val="000000"/>
          <w:lang w:eastAsia="da-DK"/>
        </w:rPr>
        <w:t xml:space="preserve">§ </w:t>
      </w:r>
      <w:r w:rsidR="00F9344C">
        <w:rPr>
          <w:rFonts w:eastAsia="Times New Roman" w:cs="Times New Roman"/>
          <w:b/>
          <w:color w:val="000000"/>
          <w:lang w:eastAsia="da-DK"/>
        </w:rPr>
        <w:t>26</w:t>
      </w:r>
      <w:r w:rsidR="00A20515" w:rsidRPr="00577043">
        <w:rPr>
          <w:rFonts w:eastAsia="Times New Roman" w:cs="Times New Roman"/>
          <w:b/>
          <w:color w:val="000000"/>
          <w:lang w:eastAsia="da-DK"/>
        </w:rPr>
        <w:t>.</w:t>
      </w:r>
      <w:r w:rsidR="00DA39B3" w:rsidRPr="00577043">
        <w:rPr>
          <w:rFonts w:eastAsia="Times New Roman" w:cs="Times New Roman"/>
          <w:color w:val="000000"/>
          <w:lang w:eastAsia="da-DK"/>
        </w:rPr>
        <w:t xml:space="preserve"> Når et klinisk forsøg med lægemidler på dyr er påbegyndt, kan sponsor kun ændre i forsøgsprotokollen og dokumentation for forsøgslægemidlet efter godkendelse fra </w:t>
      </w:r>
      <w:r w:rsidR="0058651B">
        <w:rPr>
          <w:rFonts w:eastAsia="Times New Roman" w:cs="Times New Roman"/>
          <w:color w:val="000000"/>
          <w:lang w:eastAsia="da-DK"/>
        </w:rPr>
        <w:t>Lægemiddelstyrelsen</w:t>
      </w:r>
      <w:r w:rsidR="00DA39B3" w:rsidRPr="00577043">
        <w:rPr>
          <w:rFonts w:eastAsia="Times New Roman" w:cs="Times New Roman"/>
          <w:color w:val="000000"/>
          <w:lang w:eastAsia="da-DK"/>
        </w:rPr>
        <w:t>.</w:t>
      </w:r>
      <w:r w:rsidR="00DA39B3" w:rsidRPr="00577043">
        <w:rPr>
          <w:rFonts w:eastAsia="Times New Roman" w:cs="Times New Roman"/>
          <w:color w:val="000000"/>
          <w:lang w:eastAsia="da-DK"/>
        </w:rPr>
        <w:br/>
      </w:r>
    </w:p>
    <w:p w14:paraId="00A664FE" w14:textId="77777777" w:rsidR="00DA39B3" w:rsidRPr="00577043" w:rsidRDefault="00CE0897" w:rsidP="00CB2276">
      <w:pPr>
        <w:rPr>
          <w:rFonts w:eastAsia="Times New Roman" w:cs="Times New Roman"/>
          <w:color w:val="000000"/>
          <w:lang w:eastAsia="da-DK"/>
        </w:rPr>
      </w:pPr>
      <w:r w:rsidRPr="00577043">
        <w:rPr>
          <w:rFonts w:eastAsia="Times New Roman" w:cs="Times New Roman"/>
          <w:color w:val="000000"/>
          <w:lang w:eastAsia="da-DK"/>
        </w:rPr>
        <w:t xml:space="preserve">   </w:t>
      </w:r>
      <w:r w:rsidRPr="00577043">
        <w:rPr>
          <w:rFonts w:eastAsia="Times New Roman" w:cs="Times New Roman"/>
          <w:b/>
          <w:color w:val="000000"/>
          <w:lang w:eastAsia="da-DK"/>
        </w:rPr>
        <w:t>§ 2</w:t>
      </w:r>
      <w:r w:rsidR="00F9344C">
        <w:rPr>
          <w:rFonts w:eastAsia="Times New Roman" w:cs="Times New Roman"/>
          <w:b/>
          <w:color w:val="000000"/>
          <w:lang w:eastAsia="da-DK"/>
        </w:rPr>
        <w:t>7</w:t>
      </w:r>
      <w:r w:rsidRPr="00577043">
        <w:rPr>
          <w:rFonts w:eastAsia="Times New Roman" w:cs="Times New Roman"/>
          <w:b/>
          <w:color w:val="000000"/>
          <w:lang w:eastAsia="da-DK"/>
        </w:rPr>
        <w:t>.</w:t>
      </w:r>
      <w:r w:rsidR="00DA39B3" w:rsidRPr="00577043">
        <w:rPr>
          <w:rFonts w:eastAsia="Times New Roman" w:cs="Times New Roman"/>
          <w:color w:val="000000"/>
          <w:lang w:eastAsia="da-DK"/>
        </w:rPr>
        <w:t> Sponsor skal</w:t>
      </w:r>
    </w:p>
    <w:p w14:paraId="0A7D094B" w14:textId="77777777" w:rsidR="00BC43E5" w:rsidRPr="00577043" w:rsidRDefault="00DA39B3" w:rsidP="00CB2276">
      <w:pPr>
        <w:pStyle w:val="Listeafsnit"/>
        <w:numPr>
          <w:ilvl w:val="0"/>
          <w:numId w:val="3"/>
        </w:numPr>
        <w:rPr>
          <w:rFonts w:eastAsia="Times New Roman" w:cs="Times New Roman"/>
          <w:color w:val="000000"/>
          <w:lang w:eastAsia="da-DK"/>
        </w:rPr>
      </w:pPr>
      <w:r w:rsidRPr="00577043">
        <w:rPr>
          <w:rFonts w:eastAsia="Times New Roman" w:cs="Times New Roman"/>
          <w:color w:val="000000"/>
          <w:lang w:eastAsia="da-DK"/>
        </w:rPr>
        <w:t xml:space="preserve">omgående underrette </w:t>
      </w:r>
      <w:r w:rsidR="0058651B">
        <w:rPr>
          <w:rFonts w:eastAsia="Times New Roman" w:cs="Times New Roman"/>
          <w:color w:val="000000"/>
          <w:lang w:eastAsia="da-DK"/>
        </w:rPr>
        <w:t>Lægemiddelstyrelsen</w:t>
      </w:r>
      <w:r w:rsidRPr="00577043">
        <w:rPr>
          <w:rFonts w:eastAsia="Times New Roman" w:cs="Times New Roman"/>
          <w:color w:val="000000"/>
          <w:lang w:eastAsia="da-DK"/>
        </w:rPr>
        <w:t>, hvis der under forsøget optræder uventede og alvorlige formodede bivirkninger</w:t>
      </w:r>
    </w:p>
    <w:p w14:paraId="79DA2B61" w14:textId="77777777" w:rsidR="00DA39B3" w:rsidRPr="00577043" w:rsidRDefault="00DA39B3" w:rsidP="00CB2276">
      <w:pPr>
        <w:pStyle w:val="Listeafsnit"/>
        <w:numPr>
          <w:ilvl w:val="0"/>
          <w:numId w:val="3"/>
        </w:numPr>
        <w:rPr>
          <w:rFonts w:eastAsia="Times New Roman" w:cs="Times New Roman"/>
          <w:color w:val="000000"/>
          <w:lang w:eastAsia="da-DK"/>
        </w:rPr>
      </w:pPr>
      <w:r w:rsidRPr="00577043">
        <w:rPr>
          <w:rFonts w:eastAsia="Times New Roman" w:cs="Times New Roman"/>
          <w:color w:val="000000"/>
          <w:lang w:eastAsia="da-DK"/>
        </w:rPr>
        <w:t xml:space="preserve">inden 15 dage underrette </w:t>
      </w:r>
      <w:r w:rsidR="0058651B">
        <w:rPr>
          <w:rFonts w:eastAsia="Times New Roman" w:cs="Times New Roman"/>
          <w:color w:val="000000"/>
          <w:lang w:eastAsia="da-DK"/>
        </w:rPr>
        <w:t>Lægemiddelstyrelsen</w:t>
      </w:r>
      <w:r w:rsidRPr="00577043">
        <w:rPr>
          <w:rFonts w:eastAsia="Times New Roman" w:cs="Times New Roman"/>
          <w:color w:val="000000"/>
          <w:lang w:eastAsia="da-DK"/>
        </w:rPr>
        <w:t>, hvis et forsøg må afbrydes tidligere end planlagt, og give styrelsen en klar begrundelse for afbrydelsen,</w:t>
      </w:r>
    </w:p>
    <w:p w14:paraId="41BF293A" w14:textId="77777777" w:rsidR="00DA39B3" w:rsidRPr="00577043" w:rsidRDefault="00DA39B3" w:rsidP="00DF0723">
      <w:pPr>
        <w:pStyle w:val="Listeafsnit"/>
        <w:numPr>
          <w:ilvl w:val="0"/>
          <w:numId w:val="3"/>
        </w:numPr>
        <w:rPr>
          <w:rFonts w:eastAsia="Times New Roman" w:cs="Times New Roman"/>
          <w:color w:val="000000"/>
          <w:lang w:eastAsia="da-DK"/>
        </w:rPr>
      </w:pPr>
      <w:r w:rsidRPr="00577043">
        <w:rPr>
          <w:rFonts w:eastAsia="Times New Roman" w:cs="Times New Roman"/>
          <w:color w:val="000000"/>
          <w:lang w:eastAsia="da-DK"/>
        </w:rPr>
        <w:t xml:space="preserve">en gang årligt i hele forsøgsperioden udarbejde en liste over alle alvorlige formodede bivirkninger, som er indtruffet i forsøgsperioden, og en rapport om </w:t>
      </w:r>
      <w:r w:rsidR="00076032">
        <w:rPr>
          <w:rFonts w:eastAsia="Times New Roman" w:cs="Times New Roman"/>
          <w:color w:val="000000"/>
          <w:lang w:eastAsia="da-DK"/>
        </w:rPr>
        <w:t>dyrenes</w:t>
      </w:r>
      <w:r w:rsidRPr="00577043">
        <w:rPr>
          <w:rFonts w:eastAsia="Times New Roman" w:cs="Times New Roman"/>
          <w:color w:val="000000"/>
          <w:lang w:eastAsia="da-DK"/>
        </w:rPr>
        <w:t xml:space="preserve"> sikkerhed og indsende dem til </w:t>
      </w:r>
      <w:r w:rsidR="0058651B">
        <w:rPr>
          <w:rFonts w:eastAsia="Times New Roman" w:cs="Times New Roman"/>
          <w:color w:val="000000"/>
          <w:lang w:eastAsia="da-DK"/>
        </w:rPr>
        <w:t>Lægemiddelstyrelsen</w:t>
      </w:r>
      <w:r w:rsidRPr="00577043">
        <w:rPr>
          <w:rFonts w:eastAsia="Times New Roman" w:cs="Times New Roman"/>
          <w:color w:val="000000"/>
          <w:lang w:eastAsia="da-DK"/>
        </w:rPr>
        <w:t xml:space="preserve"> og</w:t>
      </w:r>
    </w:p>
    <w:p w14:paraId="5D9D7767" w14:textId="77777777" w:rsidR="00DA39B3" w:rsidRPr="00577043" w:rsidRDefault="00DA39B3" w:rsidP="00DF0723">
      <w:pPr>
        <w:pStyle w:val="Listeafsnit"/>
        <w:numPr>
          <w:ilvl w:val="0"/>
          <w:numId w:val="3"/>
        </w:numPr>
        <w:rPr>
          <w:rFonts w:eastAsia="Times New Roman" w:cs="Times New Roman"/>
          <w:color w:val="000000"/>
          <w:lang w:eastAsia="da-DK"/>
        </w:rPr>
      </w:pPr>
      <w:r w:rsidRPr="00577043">
        <w:rPr>
          <w:rFonts w:eastAsia="Times New Roman" w:cs="Times New Roman"/>
          <w:color w:val="000000"/>
          <w:lang w:eastAsia="da-DK"/>
        </w:rPr>
        <w:t xml:space="preserve">højst 90 dage efter forsøgets afslutning underrette </w:t>
      </w:r>
      <w:r w:rsidR="0058651B">
        <w:rPr>
          <w:rFonts w:eastAsia="Times New Roman" w:cs="Times New Roman"/>
          <w:color w:val="000000"/>
          <w:lang w:eastAsia="da-DK"/>
        </w:rPr>
        <w:t>Lægemiddelstyrelsen</w:t>
      </w:r>
      <w:r w:rsidRPr="00577043">
        <w:rPr>
          <w:rFonts w:eastAsia="Times New Roman" w:cs="Times New Roman"/>
          <w:color w:val="000000"/>
          <w:lang w:eastAsia="da-DK"/>
        </w:rPr>
        <w:t xml:space="preserve"> om, at forsøget er afsluttet, samt snarest muligt og senest inden 1 år indsende forsøgets resultat til styrelsen.</w:t>
      </w:r>
    </w:p>
    <w:p w14:paraId="7CFA8261" w14:textId="77777777" w:rsidR="00DA39B3" w:rsidRPr="00577043" w:rsidRDefault="00A20515" w:rsidP="00CB2276">
      <w:pPr>
        <w:rPr>
          <w:rFonts w:eastAsia="Times New Roman" w:cs="Times New Roman"/>
          <w:color w:val="000000"/>
          <w:lang w:eastAsia="da-DK"/>
        </w:rPr>
      </w:pPr>
      <w:r w:rsidRPr="00577043">
        <w:rPr>
          <w:rFonts w:eastAsia="Times New Roman" w:cs="Times New Roman"/>
          <w:i/>
          <w:color w:val="000000"/>
          <w:lang w:eastAsia="da-DK"/>
        </w:rPr>
        <w:t xml:space="preserve">   </w:t>
      </w:r>
      <w:r w:rsidR="00DA39B3" w:rsidRPr="00577043">
        <w:rPr>
          <w:rFonts w:eastAsia="Times New Roman" w:cs="Times New Roman"/>
          <w:i/>
          <w:color w:val="000000"/>
          <w:lang w:eastAsia="da-DK"/>
        </w:rPr>
        <w:t>Stk. 2.</w:t>
      </w:r>
      <w:r w:rsidR="00DA39B3" w:rsidRPr="00577043">
        <w:rPr>
          <w:rFonts w:eastAsia="Times New Roman" w:cs="Times New Roman"/>
          <w:color w:val="000000"/>
          <w:lang w:eastAsia="da-DK"/>
        </w:rPr>
        <w:t xml:space="preserve"> </w:t>
      </w:r>
      <w:r w:rsidR="00A22EAD" w:rsidRPr="00577043">
        <w:rPr>
          <w:rFonts w:eastAsia="Times New Roman" w:cs="Times New Roman"/>
          <w:color w:val="000000"/>
          <w:lang w:eastAsia="da-DK"/>
        </w:rPr>
        <w:t>Sundheds- og ældreministeren</w:t>
      </w:r>
      <w:r w:rsidR="00DA39B3" w:rsidRPr="00577043">
        <w:rPr>
          <w:rFonts w:eastAsia="Times New Roman" w:cs="Times New Roman"/>
          <w:color w:val="000000"/>
          <w:lang w:eastAsia="da-DK"/>
        </w:rPr>
        <w:t xml:space="preserve"> kan fastsætte </w:t>
      </w:r>
      <w:r w:rsidR="00663622" w:rsidRPr="00577043">
        <w:rPr>
          <w:rFonts w:eastAsia="Times New Roman" w:cs="Times New Roman"/>
          <w:color w:val="000000"/>
          <w:lang w:eastAsia="da-DK"/>
        </w:rPr>
        <w:t xml:space="preserve">nærmere </w:t>
      </w:r>
      <w:r w:rsidR="00DA39B3" w:rsidRPr="00577043">
        <w:rPr>
          <w:rFonts w:eastAsia="Times New Roman" w:cs="Times New Roman"/>
          <w:color w:val="000000"/>
          <w:lang w:eastAsia="da-DK"/>
        </w:rPr>
        <w:t>regler om de i stk. 1 nævnte underretninger.</w:t>
      </w:r>
    </w:p>
    <w:p w14:paraId="3168CCE2" w14:textId="77777777" w:rsidR="00DA39B3" w:rsidRPr="00577043" w:rsidRDefault="00A20515" w:rsidP="00CB2276">
      <w:pPr>
        <w:rPr>
          <w:rFonts w:eastAsia="Times New Roman" w:cs="Times New Roman"/>
          <w:color w:val="000000"/>
          <w:lang w:eastAsia="da-DK"/>
        </w:rPr>
      </w:pPr>
      <w:r w:rsidRPr="00577043">
        <w:rPr>
          <w:rFonts w:eastAsia="Times New Roman" w:cs="Times New Roman"/>
          <w:i/>
          <w:color w:val="000000"/>
          <w:lang w:eastAsia="da-DK"/>
        </w:rPr>
        <w:t xml:space="preserve">   </w:t>
      </w:r>
      <w:r w:rsidR="00DA39B3" w:rsidRPr="00577043">
        <w:rPr>
          <w:rFonts w:eastAsia="Times New Roman" w:cs="Times New Roman"/>
          <w:i/>
          <w:color w:val="000000"/>
          <w:lang w:eastAsia="da-DK"/>
        </w:rPr>
        <w:t>Stk. 3.</w:t>
      </w:r>
      <w:r w:rsidR="00DA39B3" w:rsidRPr="00577043">
        <w:rPr>
          <w:rFonts w:eastAsia="Times New Roman" w:cs="Times New Roman"/>
          <w:color w:val="000000"/>
          <w:lang w:eastAsia="da-DK"/>
        </w:rPr>
        <w:t xml:space="preserve"> </w:t>
      </w:r>
      <w:r w:rsidR="00A22EAD" w:rsidRPr="00577043">
        <w:rPr>
          <w:rFonts w:eastAsia="Times New Roman" w:cs="Times New Roman"/>
          <w:color w:val="000000"/>
          <w:lang w:eastAsia="da-DK"/>
        </w:rPr>
        <w:t>Sundheds- og ældreministeren</w:t>
      </w:r>
      <w:r w:rsidR="00DA39B3" w:rsidRPr="00577043">
        <w:rPr>
          <w:rFonts w:eastAsia="Times New Roman" w:cs="Times New Roman"/>
          <w:color w:val="000000"/>
          <w:lang w:eastAsia="da-DK"/>
        </w:rPr>
        <w:t xml:space="preserve"> kan fastsætte </w:t>
      </w:r>
      <w:r w:rsidR="00663622" w:rsidRPr="00577043">
        <w:rPr>
          <w:rFonts w:eastAsia="Times New Roman" w:cs="Times New Roman"/>
          <w:color w:val="000000"/>
          <w:lang w:eastAsia="da-DK"/>
        </w:rPr>
        <w:t xml:space="preserve">nærmere </w:t>
      </w:r>
      <w:r w:rsidR="00DA39B3" w:rsidRPr="00577043">
        <w:rPr>
          <w:rFonts w:eastAsia="Times New Roman" w:cs="Times New Roman"/>
          <w:color w:val="000000"/>
          <w:lang w:eastAsia="da-DK"/>
        </w:rPr>
        <w:t>regler om sponsors pligt til at underrette andre, herunder ansvarlige for kliniske forsøg og lægemiddelmyndigheder i de andre EU/EØS-lande, om de i stk. 1, nr. 1, indberettede oplysninger.</w:t>
      </w:r>
    </w:p>
    <w:p w14:paraId="1C88C781" w14:textId="77777777" w:rsidR="00DA39B3" w:rsidRPr="00577043" w:rsidRDefault="00DA39B3" w:rsidP="00CB2276">
      <w:pPr>
        <w:rPr>
          <w:rFonts w:eastAsia="Times New Roman" w:cs="Times New Roman"/>
          <w:color w:val="000000"/>
          <w:lang w:eastAsia="da-DK"/>
        </w:rPr>
      </w:pPr>
    </w:p>
    <w:p w14:paraId="465A6BB1" w14:textId="77777777" w:rsidR="00DA39B3" w:rsidRPr="00577043" w:rsidRDefault="00CE0897" w:rsidP="00CB2276">
      <w:pPr>
        <w:rPr>
          <w:rFonts w:eastAsia="Times New Roman" w:cs="Times New Roman"/>
          <w:color w:val="000000"/>
          <w:lang w:eastAsia="da-DK"/>
        </w:rPr>
      </w:pPr>
      <w:r w:rsidRPr="00577043">
        <w:rPr>
          <w:rFonts w:eastAsia="Times New Roman" w:cs="Times New Roman"/>
          <w:b/>
          <w:color w:val="000000"/>
          <w:lang w:eastAsia="da-DK"/>
        </w:rPr>
        <w:t xml:space="preserve">   § 2</w:t>
      </w:r>
      <w:r w:rsidR="00F9344C">
        <w:rPr>
          <w:rFonts w:eastAsia="Times New Roman" w:cs="Times New Roman"/>
          <w:b/>
          <w:color w:val="000000"/>
          <w:lang w:eastAsia="da-DK"/>
        </w:rPr>
        <w:t>8</w:t>
      </w:r>
      <w:r w:rsidR="00A20515" w:rsidRPr="00577043">
        <w:rPr>
          <w:rFonts w:eastAsia="Times New Roman" w:cs="Times New Roman"/>
          <w:b/>
          <w:color w:val="000000"/>
          <w:lang w:eastAsia="da-DK"/>
        </w:rPr>
        <w:t>.</w:t>
      </w:r>
      <w:r w:rsidR="00DA39B3" w:rsidRPr="00577043">
        <w:rPr>
          <w:rFonts w:eastAsia="Times New Roman" w:cs="Times New Roman"/>
          <w:color w:val="000000"/>
          <w:lang w:eastAsia="da-DK"/>
        </w:rPr>
        <w:t xml:space="preserve"> Under forsøget kan </w:t>
      </w:r>
      <w:r w:rsidR="0058651B">
        <w:rPr>
          <w:rFonts w:eastAsia="Times New Roman" w:cs="Times New Roman"/>
          <w:color w:val="000000"/>
          <w:lang w:eastAsia="da-DK"/>
        </w:rPr>
        <w:t>Lægemiddelstyrelsen</w:t>
      </w:r>
      <w:r w:rsidR="00DA39B3" w:rsidRPr="00577043">
        <w:rPr>
          <w:rFonts w:eastAsia="Times New Roman" w:cs="Times New Roman"/>
          <w:color w:val="000000"/>
          <w:lang w:eastAsia="da-DK"/>
        </w:rPr>
        <w:t xml:space="preserve"> over for sponsor og investigator kræve forsøget ændret</w:t>
      </w:r>
      <w:r w:rsidR="0062784A" w:rsidRPr="00577043">
        <w:rPr>
          <w:rFonts w:eastAsia="Times New Roman" w:cs="Times New Roman"/>
          <w:color w:val="000000"/>
          <w:lang w:eastAsia="da-DK"/>
        </w:rPr>
        <w:t>,</w:t>
      </w:r>
      <w:r w:rsidR="00DA39B3" w:rsidRPr="00577043">
        <w:rPr>
          <w:rFonts w:eastAsia="Times New Roman" w:cs="Times New Roman"/>
          <w:color w:val="000000"/>
          <w:lang w:eastAsia="da-DK"/>
        </w:rPr>
        <w:t xml:space="preserve"> midlertidigt standset, eller styrelsen kan </w:t>
      </w:r>
      <w:r w:rsidR="0062784A" w:rsidRPr="00577043">
        <w:rPr>
          <w:rFonts w:eastAsia="Times New Roman" w:cs="Times New Roman"/>
          <w:color w:val="000000"/>
          <w:lang w:eastAsia="da-DK"/>
        </w:rPr>
        <w:t xml:space="preserve">helt </w:t>
      </w:r>
      <w:r w:rsidR="00DA39B3" w:rsidRPr="00577043">
        <w:rPr>
          <w:rFonts w:eastAsia="Times New Roman" w:cs="Times New Roman"/>
          <w:color w:val="000000"/>
          <w:lang w:eastAsia="da-DK"/>
        </w:rPr>
        <w:t xml:space="preserve">forbyde forsøget. </w:t>
      </w:r>
      <w:r w:rsidR="00A22EAD" w:rsidRPr="00577043">
        <w:rPr>
          <w:rFonts w:eastAsia="Times New Roman" w:cs="Times New Roman"/>
          <w:color w:val="000000"/>
          <w:lang w:eastAsia="da-DK"/>
        </w:rPr>
        <w:t>Sundheds- og ældreministeren</w:t>
      </w:r>
      <w:r w:rsidR="00DA39B3" w:rsidRPr="00577043">
        <w:rPr>
          <w:rFonts w:eastAsia="Times New Roman" w:cs="Times New Roman"/>
          <w:color w:val="000000"/>
          <w:lang w:eastAsia="da-DK"/>
        </w:rPr>
        <w:t xml:space="preserve"> kan fastsætte nærmere regler herom.</w:t>
      </w:r>
    </w:p>
    <w:p w14:paraId="15E23840" w14:textId="77777777" w:rsidR="00A20515" w:rsidRPr="00577043" w:rsidRDefault="00A20515" w:rsidP="00CB2276">
      <w:pPr>
        <w:rPr>
          <w:rFonts w:eastAsia="Times New Roman" w:cs="Times New Roman"/>
          <w:color w:val="000000"/>
          <w:lang w:eastAsia="da-DK"/>
        </w:rPr>
      </w:pPr>
    </w:p>
    <w:p w14:paraId="2294A5A6" w14:textId="77777777" w:rsidR="00DA39B3" w:rsidRPr="00577043" w:rsidRDefault="00CE0897" w:rsidP="00CB2276">
      <w:pPr>
        <w:rPr>
          <w:rFonts w:eastAsia="Times New Roman" w:cs="Times New Roman"/>
          <w:color w:val="000000"/>
          <w:lang w:eastAsia="da-DK"/>
        </w:rPr>
      </w:pPr>
      <w:r w:rsidRPr="00577043">
        <w:rPr>
          <w:rFonts w:eastAsia="Times New Roman" w:cs="Times New Roman"/>
          <w:b/>
          <w:color w:val="000000"/>
          <w:lang w:eastAsia="da-DK"/>
        </w:rPr>
        <w:t xml:space="preserve">   § 2</w:t>
      </w:r>
      <w:r w:rsidR="00F9344C">
        <w:rPr>
          <w:rFonts w:eastAsia="Times New Roman" w:cs="Times New Roman"/>
          <w:b/>
          <w:color w:val="000000"/>
          <w:lang w:eastAsia="da-DK"/>
        </w:rPr>
        <w:t>9</w:t>
      </w:r>
      <w:r w:rsidR="00A20515" w:rsidRPr="00577043">
        <w:rPr>
          <w:rFonts w:eastAsia="Times New Roman" w:cs="Times New Roman"/>
          <w:b/>
          <w:color w:val="000000"/>
          <w:lang w:eastAsia="da-DK"/>
        </w:rPr>
        <w:t>.</w:t>
      </w:r>
      <w:r w:rsidR="00DA39B3" w:rsidRPr="00577043">
        <w:rPr>
          <w:rFonts w:eastAsia="Times New Roman" w:cs="Times New Roman"/>
          <w:color w:val="000000"/>
          <w:lang w:eastAsia="da-DK"/>
        </w:rPr>
        <w:t xml:space="preserve"> Lægemidler til kliniske forsøg med dyr skal overholde gældende standarder for god fremstillingspraksis i henhold til lægemiddellovens bestemmelser herom. Overholdelse heraf er omfattet af </w:t>
      </w:r>
      <w:r w:rsidR="0058651B">
        <w:rPr>
          <w:rFonts w:eastAsia="Times New Roman" w:cs="Times New Roman"/>
          <w:color w:val="000000"/>
          <w:lang w:eastAsia="da-DK"/>
        </w:rPr>
        <w:t>Lægemiddelstyrelsen</w:t>
      </w:r>
      <w:r w:rsidR="00DA39B3" w:rsidRPr="00577043">
        <w:rPr>
          <w:rFonts w:eastAsia="Times New Roman" w:cs="Times New Roman"/>
          <w:color w:val="000000"/>
          <w:lang w:eastAsia="da-DK"/>
        </w:rPr>
        <w:t xml:space="preserve">s kontrol af kliniske forsøg i medfør af § </w:t>
      </w:r>
      <w:r w:rsidR="00494EE9">
        <w:rPr>
          <w:rFonts w:eastAsia="Times New Roman" w:cs="Times New Roman"/>
          <w:color w:val="000000"/>
          <w:lang w:eastAsia="da-DK"/>
        </w:rPr>
        <w:t>31.</w:t>
      </w:r>
    </w:p>
    <w:p w14:paraId="3BA3A633" w14:textId="77777777" w:rsidR="00DA39B3" w:rsidRPr="00577043" w:rsidRDefault="00DA39B3" w:rsidP="00CB2276">
      <w:pPr>
        <w:rPr>
          <w:rFonts w:eastAsia="Times New Roman" w:cs="Times New Roman"/>
          <w:color w:val="000000"/>
          <w:lang w:eastAsia="da-DK"/>
        </w:rPr>
      </w:pPr>
      <w:r w:rsidRPr="00577043">
        <w:rPr>
          <w:rFonts w:eastAsia="Times New Roman" w:cs="Times New Roman"/>
          <w:color w:val="000000"/>
          <w:lang w:eastAsia="da-DK"/>
        </w:rPr>
        <w:t>   </w:t>
      </w:r>
      <w:r w:rsidRPr="00577043">
        <w:rPr>
          <w:rFonts w:eastAsia="Times New Roman" w:cs="Times New Roman"/>
          <w:i/>
          <w:color w:val="000000"/>
          <w:lang w:eastAsia="da-DK"/>
        </w:rPr>
        <w:t xml:space="preserve">Stk. </w:t>
      </w:r>
      <w:r w:rsidR="00A20515" w:rsidRPr="00577043">
        <w:rPr>
          <w:rFonts w:eastAsia="Times New Roman" w:cs="Times New Roman"/>
          <w:i/>
          <w:color w:val="000000"/>
          <w:lang w:eastAsia="da-DK"/>
        </w:rPr>
        <w:t>2</w:t>
      </w:r>
      <w:r w:rsidRPr="00577043">
        <w:rPr>
          <w:rFonts w:eastAsia="Times New Roman" w:cs="Times New Roman"/>
          <w:i/>
          <w:color w:val="000000"/>
          <w:lang w:eastAsia="da-DK"/>
        </w:rPr>
        <w:t>.</w:t>
      </w:r>
      <w:r w:rsidRPr="00577043">
        <w:rPr>
          <w:rFonts w:eastAsia="Times New Roman" w:cs="Times New Roman"/>
          <w:color w:val="000000"/>
          <w:lang w:eastAsia="da-DK"/>
        </w:rPr>
        <w:t> </w:t>
      </w:r>
      <w:r w:rsidR="0058651B">
        <w:rPr>
          <w:rFonts w:eastAsia="Times New Roman" w:cs="Times New Roman"/>
          <w:color w:val="000000"/>
          <w:lang w:eastAsia="da-DK"/>
        </w:rPr>
        <w:t>Lægemiddelstyrelsen</w:t>
      </w:r>
      <w:r w:rsidRPr="00577043">
        <w:rPr>
          <w:rFonts w:eastAsia="Times New Roman" w:cs="Times New Roman"/>
          <w:color w:val="000000"/>
          <w:lang w:eastAsia="da-DK"/>
        </w:rPr>
        <w:t xml:space="preserve"> fastsætter nærmere regler om fremstilling, import, mærkning og distribution af samt kontrol med lægemidler til kliniske forsøg.</w:t>
      </w:r>
    </w:p>
    <w:p w14:paraId="102BC4A7" w14:textId="77777777" w:rsidR="00DA39B3" w:rsidRPr="00577043" w:rsidRDefault="00DA39B3" w:rsidP="00CB2276">
      <w:pPr>
        <w:rPr>
          <w:rFonts w:eastAsia="Times New Roman" w:cs="Times New Roman"/>
          <w:color w:val="000000"/>
          <w:lang w:eastAsia="da-DK"/>
        </w:rPr>
      </w:pPr>
    </w:p>
    <w:p w14:paraId="7A23F123" w14:textId="77777777" w:rsidR="00DA39B3" w:rsidRPr="00577043" w:rsidRDefault="00CE0897" w:rsidP="00CB2276">
      <w:pPr>
        <w:rPr>
          <w:rFonts w:eastAsia="Times New Roman" w:cs="Times New Roman"/>
          <w:color w:val="000000"/>
          <w:lang w:eastAsia="da-DK"/>
        </w:rPr>
      </w:pPr>
      <w:r w:rsidRPr="00577043">
        <w:rPr>
          <w:rFonts w:eastAsia="Times New Roman" w:cs="Times New Roman"/>
          <w:b/>
          <w:color w:val="000000"/>
          <w:lang w:eastAsia="da-DK"/>
        </w:rPr>
        <w:t xml:space="preserve">   § </w:t>
      </w:r>
      <w:r w:rsidR="00F9344C">
        <w:rPr>
          <w:rFonts w:eastAsia="Times New Roman" w:cs="Times New Roman"/>
          <w:b/>
          <w:color w:val="000000"/>
          <w:lang w:eastAsia="da-DK"/>
        </w:rPr>
        <w:t>30</w:t>
      </w:r>
      <w:r w:rsidR="00A20515" w:rsidRPr="00577043">
        <w:rPr>
          <w:rFonts w:eastAsia="Times New Roman" w:cs="Times New Roman"/>
          <w:b/>
          <w:color w:val="000000"/>
          <w:lang w:eastAsia="da-DK"/>
        </w:rPr>
        <w:t>.</w:t>
      </w:r>
      <w:r w:rsidR="00DA39B3" w:rsidRPr="00577043">
        <w:rPr>
          <w:rFonts w:eastAsia="Times New Roman" w:cs="Times New Roman"/>
          <w:color w:val="000000"/>
          <w:lang w:eastAsia="da-DK"/>
        </w:rPr>
        <w:t xml:space="preserve"> </w:t>
      </w:r>
      <w:r w:rsidR="00A22EAD" w:rsidRPr="00577043">
        <w:rPr>
          <w:rFonts w:eastAsia="Times New Roman" w:cs="Times New Roman"/>
          <w:color w:val="000000"/>
          <w:lang w:eastAsia="da-DK"/>
        </w:rPr>
        <w:t>Sundheds- og ældreministeren</w:t>
      </w:r>
      <w:r w:rsidR="00DA39B3" w:rsidRPr="00577043">
        <w:rPr>
          <w:rFonts w:eastAsia="Times New Roman" w:cs="Times New Roman"/>
          <w:color w:val="000000"/>
          <w:lang w:eastAsia="da-DK"/>
        </w:rPr>
        <w:t xml:space="preserve"> kan fastsætte </w:t>
      </w:r>
      <w:r w:rsidR="0062784A" w:rsidRPr="00577043">
        <w:rPr>
          <w:rFonts w:eastAsia="Times New Roman" w:cs="Times New Roman"/>
          <w:color w:val="000000"/>
          <w:lang w:eastAsia="da-DK"/>
        </w:rPr>
        <w:t xml:space="preserve">nærmere </w:t>
      </w:r>
      <w:r w:rsidR="00DA39B3" w:rsidRPr="00577043">
        <w:rPr>
          <w:rFonts w:eastAsia="Times New Roman" w:cs="Times New Roman"/>
          <w:color w:val="000000"/>
          <w:lang w:eastAsia="da-DK"/>
        </w:rPr>
        <w:t>regler om formkrav til ansøgninger og underretninger efter dette kapitel, herunder at ansøgning eller underretning skal ske elektronisk.</w:t>
      </w:r>
    </w:p>
    <w:p w14:paraId="4FE6CDF1" w14:textId="77777777" w:rsidR="00DA39B3" w:rsidRDefault="00DA39B3" w:rsidP="00CB2276">
      <w:pPr>
        <w:rPr>
          <w:rFonts w:eastAsia="Times New Roman" w:cs="Times New Roman"/>
          <w:color w:val="000000"/>
          <w:lang w:eastAsia="da-DK"/>
        </w:rPr>
      </w:pPr>
    </w:p>
    <w:p w14:paraId="647764B3" w14:textId="77777777" w:rsidR="00C25846" w:rsidRPr="00577043" w:rsidRDefault="00C25846" w:rsidP="00CB2276">
      <w:pPr>
        <w:rPr>
          <w:rFonts w:eastAsia="Times New Roman" w:cs="Times New Roman"/>
          <w:color w:val="000000"/>
          <w:lang w:eastAsia="da-DK"/>
        </w:rPr>
      </w:pPr>
    </w:p>
    <w:p w14:paraId="535F122D" w14:textId="77777777" w:rsidR="007A2A83" w:rsidRPr="00577043" w:rsidRDefault="007A2A83" w:rsidP="00CB2276">
      <w:pPr>
        <w:rPr>
          <w:rFonts w:eastAsia="Times New Roman" w:cs="Times New Roman"/>
          <w:color w:val="000000"/>
          <w:lang w:eastAsia="da-DK"/>
        </w:rPr>
      </w:pPr>
    </w:p>
    <w:p w14:paraId="01491873" w14:textId="77777777" w:rsidR="00DA39B3" w:rsidRPr="00577043" w:rsidRDefault="00184755" w:rsidP="00BE55CD">
      <w:pPr>
        <w:jc w:val="center"/>
        <w:rPr>
          <w:rFonts w:eastAsia="Times New Roman" w:cs="Times New Roman"/>
          <w:color w:val="000000"/>
          <w:lang w:eastAsia="da-DK"/>
        </w:rPr>
      </w:pPr>
      <w:r w:rsidRPr="00577043">
        <w:rPr>
          <w:rFonts w:eastAsia="Times New Roman" w:cs="Times New Roman"/>
          <w:color w:val="000000"/>
          <w:lang w:eastAsia="da-DK"/>
        </w:rPr>
        <w:lastRenderedPageBreak/>
        <w:t>Kapitel 8</w:t>
      </w:r>
    </w:p>
    <w:p w14:paraId="6C3BADEB" w14:textId="77777777" w:rsidR="007A2A83" w:rsidRPr="00577043" w:rsidRDefault="007A2A83" w:rsidP="00BE55CD">
      <w:pPr>
        <w:jc w:val="center"/>
        <w:rPr>
          <w:rFonts w:eastAsia="Times New Roman" w:cs="Times New Roman"/>
          <w:color w:val="000000"/>
          <w:lang w:eastAsia="da-DK"/>
        </w:rPr>
      </w:pPr>
    </w:p>
    <w:p w14:paraId="488C0EC7" w14:textId="77777777" w:rsidR="00DA39B3" w:rsidRPr="00577043" w:rsidRDefault="00332C2F" w:rsidP="00CB2276">
      <w:pPr>
        <w:pStyle w:val="Overskrift2"/>
        <w:rPr>
          <w:rFonts w:eastAsia="Times New Roman" w:cs="Times New Roman"/>
          <w:b w:val="0"/>
          <w:i/>
          <w:lang w:eastAsia="da-DK"/>
        </w:rPr>
      </w:pPr>
      <w:r>
        <w:rPr>
          <w:rFonts w:eastAsia="Times New Roman" w:cs="Times New Roman"/>
          <w:b w:val="0"/>
          <w:i/>
          <w:lang w:eastAsia="da-DK"/>
        </w:rPr>
        <w:t>Inspektion</w:t>
      </w:r>
      <w:r w:rsidR="00DA39B3" w:rsidRPr="00577043">
        <w:rPr>
          <w:rFonts w:eastAsia="Times New Roman" w:cs="Times New Roman"/>
          <w:b w:val="0"/>
          <w:i/>
          <w:lang w:eastAsia="da-DK"/>
        </w:rPr>
        <w:t xml:space="preserve"> med kliniske forsøg med dyr</w:t>
      </w:r>
    </w:p>
    <w:p w14:paraId="401FB7CB" w14:textId="77777777" w:rsidR="00DA39B3" w:rsidRPr="00577043" w:rsidRDefault="00DA39B3" w:rsidP="00CB2276">
      <w:pPr>
        <w:rPr>
          <w:rFonts w:eastAsia="Times New Roman" w:cs="Times New Roman"/>
          <w:color w:val="000000"/>
          <w:lang w:eastAsia="da-DK"/>
        </w:rPr>
      </w:pPr>
    </w:p>
    <w:p w14:paraId="1BDAB5DF" w14:textId="77777777" w:rsidR="00D010EE" w:rsidRPr="00577043" w:rsidRDefault="00CE0897" w:rsidP="00CB2276">
      <w:pPr>
        <w:rPr>
          <w:rFonts w:eastAsia="Times New Roman" w:cs="Times New Roman"/>
          <w:color w:val="000000"/>
          <w:lang w:eastAsia="da-DK"/>
        </w:rPr>
      </w:pPr>
      <w:r w:rsidRPr="00577043">
        <w:rPr>
          <w:rFonts w:eastAsia="Times New Roman" w:cs="Times New Roman"/>
          <w:b/>
          <w:color w:val="000000"/>
          <w:lang w:eastAsia="da-DK"/>
        </w:rPr>
        <w:t xml:space="preserve">   § </w:t>
      </w:r>
      <w:r w:rsidR="00F9344C">
        <w:rPr>
          <w:rFonts w:eastAsia="Times New Roman" w:cs="Times New Roman"/>
          <w:b/>
          <w:color w:val="000000"/>
          <w:lang w:eastAsia="da-DK"/>
        </w:rPr>
        <w:t>31</w:t>
      </w:r>
      <w:r w:rsidR="00A20515" w:rsidRPr="00577043">
        <w:rPr>
          <w:rFonts w:eastAsia="Times New Roman" w:cs="Times New Roman"/>
          <w:b/>
          <w:color w:val="000000"/>
          <w:lang w:eastAsia="da-DK"/>
        </w:rPr>
        <w:t>.</w:t>
      </w:r>
      <w:r w:rsidR="00F40BF6" w:rsidRPr="00577043">
        <w:rPr>
          <w:rFonts w:eastAsia="Times New Roman" w:cs="Times New Roman"/>
          <w:color w:val="000000"/>
          <w:lang w:eastAsia="da-DK"/>
        </w:rPr>
        <w:t xml:space="preserve"> </w:t>
      </w:r>
      <w:r w:rsidR="0058651B">
        <w:rPr>
          <w:rFonts w:eastAsia="Times New Roman" w:cs="Times New Roman"/>
          <w:color w:val="000000"/>
          <w:lang w:eastAsia="da-DK"/>
        </w:rPr>
        <w:t>Lægemiddelstyrelsen</w:t>
      </w:r>
      <w:r w:rsidR="00F40BF6" w:rsidRPr="00577043">
        <w:rPr>
          <w:rFonts w:eastAsia="Times New Roman" w:cs="Times New Roman"/>
          <w:color w:val="000000"/>
          <w:lang w:eastAsia="da-DK"/>
        </w:rPr>
        <w:t xml:space="preserve"> kan inden, under og efter gennemførelsen af et klinisk forsøg med lægemidler på dyr, herunder som led i behandling af en ansøgning om markedsføringstilladelse og som opfølgning på udstedelse af en markedsføringstilladelse, kontrollere enhver virksomhed m.v., der udfører eller har udført et klinisk forsøg. Styrelsen kan påbyde udlevering af alle oplysninger, herunder skriftligt materiale, der er nødvendige for kontrollen.</w:t>
      </w:r>
      <w:r w:rsidR="00F40BF6" w:rsidRPr="00577043">
        <w:rPr>
          <w:rFonts w:eastAsia="Times New Roman" w:cs="Times New Roman"/>
          <w:color w:val="000000"/>
          <w:lang w:eastAsia="da-DK"/>
        </w:rPr>
        <w:br/>
        <w:t>   </w:t>
      </w:r>
      <w:r w:rsidR="00F40BF6" w:rsidRPr="00577043">
        <w:rPr>
          <w:rFonts w:eastAsia="Times New Roman" w:cs="Times New Roman"/>
          <w:i/>
          <w:color w:val="000000"/>
          <w:lang w:eastAsia="da-DK"/>
        </w:rPr>
        <w:t>Stk. 2.</w:t>
      </w:r>
      <w:r w:rsidR="00F40BF6" w:rsidRPr="00577043">
        <w:rPr>
          <w:rFonts w:eastAsia="Times New Roman" w:cs="Times New Roman"/>
          <w:color w:val="000000"/>
          <w:lang w:eastAsia="da-DK"/>
        </w:rPr>
        <w:t> </w:t>
      </w:r>
      <w:r w:rsidR="0058651B">
        <w:rPr>
          <w:rFonts w:eastAsia="Times New Roman" w:cs="Times New Roman"/>
          <w:color w:val="000000"/>
          <w:lang w:eastAsia="da-DK"/>
        </w:rPr>
        <w:t>Lægemiddelstyrelsen</w:t>
      </w:r>
      <w:r w:rsidR="00F40BF6" w:rsidRPr="00577043">
        <w:rPr>
          <w:rFonts w:eastAsia="Times New Roman" w:cs="Times New Roman"/>
          <w:color w:val="000000"/>
          <w:lang w:eastAsia="da-DK"/>
        </w:rPr>
        <w:t xml:space="preserve"> kan på baggrund af en anmodning fra en kompetent myndighed i et andet EU/EØS-land om bistand til kontrol af et klinisk forsøg kontrollere enhver virksomhed m.v., der udfører eller har udført et klinisk forsøg med lægemidler. Styrelsen kan påbyde udlevering af alle oplysninger, herunder skriftligt materiale, der er nødvendige for kontrollen.</w:t>
      </w:r>
      <w:r w:rsidR="00F40BF6" w:rsidRPr="00577043">
        <w:rPr>
          <w:rFonts w:eastAsia="Times New Roman" w:cs="Times New Roman"/>
          <w:color w:val="000000"/>
          <w:lang w:eastAsia="da-DK"/>
        </w:rPr>
        <w:br/>
        <w:t>   </w:t>
      </w:r>
      <w:r w:rsidR="00F40BF6" w:rsidRPr="00577043">
        <w:rPr>
          <w:rFonts w:eastAsia="Times New Roman" w:cs="Times New Roman"/>
          <w:i/>
          <w:color w:val="000000"/>
          <w:lang w:eastAsia="da-DK"/>
        </w:rPr>
        <w:t>Stk. 3.</w:t>
      </w:r>
      <w:r w:rsidR="00F40BF6" w:rsidRPr="00577043">
        <w:rPr>
          <w:rFonts w:eastAsia="Times New Roman" w:cs="Times New Roman"/>
          <w:color w:val="000000"/>
          <w:lang w:eastAsia="da-DK"/>
        </w:rPr>
        <w:t xml:space="preserve"> Som led i </w:t>
      </w:r>
      <w:r w:rsidR="0058651B">
        <w:rPr>
          <w:rFonts w:eastAsia="Times New Roman" w:cs="Times New Roman"/>
          <w:color w:val="000000"/>
          <w:lang w:eastAsia="da-DK"/>
        </w:rPr>
        <w:t>Lægemiddelstyrelsen</w:t>
      </w:r>
      <w:r w:rsidR="00F40BF6" w:rsidRPr="00577043">
        <w:rPr>
          <w:rFonts w:eastAsia="Times New Roman" w:cs="Times New Roman"/>
          <w:color w:val="000000"/>
          <w:lang w:eastAsia="da-DK"/>
        </w:rPr>
        <w:t>s kontrol har styrelsens repræsentanter mod behørig legitimation og uden retskendelse adgang til virksomheder, praksis og andre steder, der er berørt af forsøgets gennemførelse.</w:t>
      </w:r>
      <w:r w:rsidR="00F40BF6" w:rsidRPr="00577043">
        <w:rPr>
          <w:rFonts w:eastAsia="Times New Roman" w:cs="Times New Roman"/>
          <w:color w:val="000000"/>
          <w:lang w:eastAsia="da-DK"/>
        </w:rPr>
        <w:br/>
      </w:r>
    </w:p>
    <w:p w14:paraId="307FFEA9" w14:textId="77777777" w:rsidR="00C065F5" w:rsidRDefault="00C065F5" w:rsidP="00CB2276">
      <w:pPr>
        <w:jc w:val="center"/>
        <w:rPr>
          <w:rFonts w:eastAsia="Times New Roman" w:cs="Times New Roman"/>
          <w:color w:val="000000"/>
          <w:lang w:eastAsia="da-DK"/>
        </w:rPr>
      </w:pPr>
    </w:p>
    <w:p w14:paraId="39595A48" w14:textId="77777777" w:rsidR="00D1257B" w:rsidRPr="00577043" w:rsidRDefault="00D1257B" w:rsidP="00D1257B">
      <w:pPr>
        <w:jc w:val="center"/>
        <w:rPr>
          <w:rFonts w:eastAsia="Times New Roman" w:cs="Times New Roman"/>
          <w:b/>
          <w:color w:val="000000"/>
          <w:lang w:eastAsia="da-DK"/>
        </w:rPr>
      </w:pPr>
      <w:r w:rsidRPr="00577043">
        <w:rPr>
          <w:rFonts w:eastAsia="Times New Roman" w:cs="Times New Roman"/>
          <w:b/>
          <w:color w:val="000000"/>
          <w:lang w:eastAsia="da-DK"/>
        </w:rPr>
        <w:t>Afsnit I</w:t>
      </w:r>
      <w:r>
        <w:rPr>
          <w:rFonts w:eastAsia="Times New Roman" w:cs="Times New Roman"/>
          <w:b/>
          <w:color w:val="000000"/>
          <w:lang w:eastAsia="da-DK"/>
        </w:rPr>
        <w:t>V</w:t>
      </w:r>
    </w:p>
    <w:p w14:paraId="33E96189" w14:textId="77777777" w:rsidR="00D1257B" w:rsidRDefault="00D1257B" w:rsidP="00CB2276">
      <w:pPr>
        <w:jc w:val="center"/>
        <w:rPr>
          <w:rFonts w:eastAsia="Times New Roman" w:cs="Times New Roman"/>
          <w:color w:val="000000"/>
          <w:lang w:eastAsia="da-DK"/>
        </w:rPr>
      </w:pPr>
    </w:p>
    <w:p w14:paraId="1B4F9565" w14:textId="77777777" w:rsidR="00D1257B" w:rsidRPr="00577043" w:rsidRDefault="00D1257B" w:rsidP="00CB2276">
      <w:pPr>
        <w:jc w:val="center"/>
        <w:rPr>
          <w:rFonts w:eastAsia="Times New Roman" w:cs="Times New Roman"/>
          <w:color w:val="000000"/>
          <w:lang w:eastAsia="da-DK"/>
        </w:rPr>
      </w:pPr>
    </w:p>
    <w:p w14:paraId="57230840" w14:textId="77777777" w:rsidR="00305657" w:rsidRPr="00577043" w:rsidRDefault="007A2A83" w:rsidP="00CB2276">
      <w:pPr>
        <w:jc w:val="center"/>
        <w:rPr>
          <w:rFonts w:eastAsia="Times New Roman" w:cs="Times New Roman"/>
          <w:color w:val="000000"/>
          <w:lang w:eastAsia="da-DK"/>
        </w:rPr>
      </w:pPr>
      <w:r w:rsidRPr="00577043">
        <w:rPr>
          <w:rFonts w:eastAsia="Times New Roman" w:cs="Times New Roman"/>
          <w:color w:val="000000"/>
          <w:lang w:eastAsia="da-DK"/>
        </w:rPr>
        <w:t xml:space="preserve">Kapitel </w:t>
      </w:r>
      <w:r w:rsidR="00184755" w:rsidRPr="00577043">
        <w:rPr>
          <w:rFonts w:eastAsia="Times New Roman" w:cs="Times New Roman"/>
          <w:color w:val="000000"/>
          <w:lang w:eastAsia="da-DK"/>
        </w:rPr>
        <w:t>9</w:t>
      </w:r>
    </w:p>
    <w:p w14:paraId="760060CE" w14:textId="77777777" w:rsidR="00ED0D3A" w:rsidRPr="00577043" w:rsidRDefault="00ED0D3A" w:rsidP="00CB2276">
      <w:pPr>
        <w:jc w:val="center"/>
        <w:rPr>
          <w:rFonts w:eastAsia="Times New Roman" w:cs="Times New Roman"/>
          <w:i/>
          <w:color w:val="000000"/>
          <w:lang w:eastAsia="da-DK"/>
        </w:rPr>
      </w:pPr>
    </w:p>
    <w:p w14:paraId="078EABB6" w14:textId="77777777" w:rsidR="001C54E7" w:rsidRPr="00577043" w:rsidRDefault="001C54E7" w:rsidP="00CB2276">
      <w:pPr>
        <w:pStyle w:val="Overskrift2"/>
        <w:rPr>
          <w:rFonts w:eastAsia="Times New Roman" w:cs="Times New Roman"/>
          <w:b w:val="0"/>
          <w:i/>
          <w:lang w:eastAsia="da-DK"/>
        </w:rPr>
      </w:pPr>
      <w:r w:rsidRPr="00577043">
        <w:rPr>
          <w:rFonts w:eastAsia="Times New Roman" w:cs="Times New Roman"/>
          <w:b w:val="0"/>
          <w:i/>
          <w:lang w:eastAsia="da-DK"/>
        </w:rPr>
        <w:t>Klageadgang</w:t>
      </w:r>
    </w:p>
    <w:p w14:paraId="075E15C0" w14:textId="77777777" w:rsidR="00ED0D3A" w:rsidRPr="00577043" w:rsidRDefault="00ED0D3A" w:rsidP="00CB2276">
      <w:pPr>
        <w:rPr>
          <w:rFonts w:eastAsia="Times New Roman" w:cs="Times New Roman"/>
          <w:color w:val="000000"/>
          <w:lang w:eastAsia="da-DK"/>
        </w:rPr>
      </w:pPr>
    </w:p>
    <w:p w14:paraId="3F7515CE" w14:textId="77777777" w:rsidR="001C54E7" w:rsidRPr="00577043" w:rsidRDefault="00CE0897" w:rsidP="00CB2276">
      <w:pPr>
        <w:rPr>
          <w:rFonts w:eastAsia="Times New Roman" w:cs="Times New Roman"/>
          <w:color w:val="000000"/>
          <w:lang w:eastAsia="da-DK"/>
        </w:rPr>
      </w:pPr>
      <w:r w:rsidRPr="00577043">
        <w:rPr>
          <w:rFonts w:eastAsia="Times New Roman" w:cs="Times New Roman"/>
          <w:b/>
          <w:color w:val="000000"/>
          <w:lang w:eastAsia="da-DK"/>
        </w:rPr>
        <w:t xml:space="preserve">   </w:t>
      </w:r>
      <w:r w:rsidR="00A20515" w:rsidRPr="00577043">
        <w:rPr>
          <w:rFonts w:eastAsia="Times New Roman" w:cs="Times New Roman"/>
          <w:b/>
          <w:color w:val="000000"/>
          <w:lang w:eastAsia="da-DK"/>
        </w:rPr>
        <w:t xml:space="preserve">§ </w:t>
      </w:r>
      <w:r w:rsidR="00F9344C">
        <w:rPr>
          <w:rFonts w:eastAsia="Times New Roman" w:cs="Times New Roman"/>
          <w:b/>
          <w:color w:val="000000"/>
          <w:lang w:eastAsia="da-DK"/>
        </w:rPr>
        <w:t>32</w:t>
      </w:r>
      <w:r w:rsidR="001C54E7" w:rsidRPr="00577043">
        <w:rPr>
          <w:rFonts w:eastAsia="Times New Roman" w:cs="Times New Roman"/>
          <w:color w:val="000000"/>
          <w:lang w:eastAsia="da-DK"/>
        </w:rPr>
        <w:t xml:space="preserve">. Sponsor kan senest 30 dage efter modtagelse af en afgørelse fra </w:t>
      </w:r>
      <w:r w:rsidR="0058651B">
        <w:rPr>
          <w:rFonts w:eastAsia="Times New Roman" w:cs="Times New Roman"/>
          <w:color w:val="000000"/>
          <w:lang w:eastAsia="da-DK"/>
        </w:rPr>
        <w:t>Lægemiddelstyrelsen</w:t>
      </w:r>
      <w:r w:rsidR="001C54E7" w:rsidRPr="00577043">
        <w:rPr>
          <w:rFonts w:eastAsia="Times New Roman" w:cs="Times New Roman"/>
          <w:color w:val="000000"/>
          <w:lang w:eastAsia="da-DK"/>
        </w:rPr>
        <w:t xml:space="preserve"> </w:t>
      </w:r>
      <w:r w:rsidR="00E04FED">
        <w:rPr>
          <w:rFonts w:eastAsia="Times New Roman" w:cs="Times New Roman"/>
          <w:color w:val="000000"/>
          <w:lang w:eastAsia="da-DK"/>
        </w:rPr>
        <w:t>eller</w:t>
      </w:r>
      <w:r w:rsidR="001C54E7" w:rsidRPr="00577043">
        <w:rPr>
          <w:rFonts w:eastAsia="Times New Roman" w:cs="Times New Roman"/>
          <w:color w:val="000000"/>
          <w:lang w:eastAsia="da-DK"/>
        </w:rPr>
        <w:t xml:space="preserve"> den videnskabsetiske lægemiddelkomit</w:t>
      </w:r>
      <w:r w:rsidR="0062784A" w:rsidRPr="00577043">
        <w:rPr>
          <w:rFonts w:eastAsia="Times New Roman" w:cs="Times New Roman"/>
          <w:color w:val="000000"/>
          <w:lang w:eastAsia="da-DK"/>
        </w:rPr>
        <w:t>é</w:t>
      </w:r>
      <w:r w:rsidR="001C54E7" w:rsidRPr="00577043">
        <w:rPr>
          <w:rFonts w:eastAsia="Times New Roman" w:cs="Times New Roman"/>
          <w:color w:val="000000"/>
          <w:lang w:eastAsia="da-DK"/>
        </w:rPr>
        <w:t xml:space="preserve"> indbringe </w:t>
      </w:r>
      <w:r w:rsidR="00CC27CD" w:rsidRPr="00577043">
        <w:rPr>
          <w:rFonts w:eastAsia="Times New Roman" w:cs="Times New Roman"/>
          <w:color w:val="000000"/>
          <w:lang w:eastAsia="da-DK"/>
        </w:rPr>
        <w:t>afgørelsen</w:t>
      </w:r>
      <w:r w:rsidR="001C54E7" w:rsidRPr="00577043">
        <w:rPr>
          <w:rFonts w:eastAsia="Times New Roman" w:cs="Times New Roman"/>
          <w:color w:val="000000"/>
          <w:lang w:eastAsia="da-DK"/>
        </w:rPr>
        <w:t xml:space="preserve"> for </w:t>
      </w:r>
      <w:r w:rsidR="00A22EAD" w:rsidRPr="00577043">
        <w:rPr>
          <w:rFonts w:eastAsia="Times New Roman" w:cs="Times New Roman"/>
          <w:color w:val="000000"/>
          <w:lang w:eastAsia="da-DK"/>
        </w:rPr>
        <w:t>Sundheds- og Ældreministeriet</w:t>
      </w:r>
      <w:r w:rsidR="001C54E7" w:rsidRPr="00577043">
        <w:rPr>
          <w:rFonts w:eastAsia="Times New Roman" w:cs="Times New Roman"/>
          <w:color w:val="000000"/>
          <w:lang w:eastAsia="da-DK"/>
        </w:rPr>
        <w:t xml:space="preserve"> for så vidt angår retlige forhold</w:t>
      </w:r>
      <w:r w:rsidR="00E82751" w:rsidRPr="00577043">
        <w:rPr>
          <w:rFonts w:eastAsia="Times New Roman" w:cs="Times New Roman"/>
          <w:color w:val="000000"/>
          <w:lang w:eastAsia="da-DK"/>
        </w:rPr>
        <w:t>.</w:t>
      </w:r>
      <w:r w:rsidR="001C54E7" w:rsidRPr="00577043">
        <w:rPr>
          <w:rFonts w:eastAsia="Times New Roman" w:cs="Times New Roman"/>
          <w:color w:val="000000"/>
          <w:lang w:eastAsia="da-DK"/>
        </w:rPr>
        <w:t xml:space="preserve"> </w:t>
      </w:r>
    </w:p>
    <w:p w14:paraId="09D25C60" w14:textId="77777777" w:rsidR="00305657" w:rsidRPr="00577043" w:rsidRDefault="00305657" w:rsidP="00CB2276">
      <w:pPr>
        <w:rPr>
          <w:rFonts w:eastAsia="Times New Roman" w:cs="Times New Roman"/>
          <w:color w:val="000000"/>
          <w:lang w:eastAsia="da-DK"/>
        </w:rPr>
      </w:pPr>
    </w:p>
    <w:p w14:paraId="662E8EDD" w14:textId="77777777" w:rsidR="007A2A83" w:rsidRPr="00577043" w:rsidRDefault="007A2A83" w:rsidP="00284AE8">
      <w:pPr>
        <w:jc w:val="center"/>
        <w:rPr>
          <w:rFonts w:eastAsia="Times New Roman" w:cs="Times New Roman"/>
          <w:color w:val="000000"/>
          <w:lang w:eastAsia="da-DK"/>
        </w:rPr>
      </w:pPr>
    </w:p>
    <w:p w14:paraId="232B92C6" w14:textId="77777777" w:rsidR="00284AE8" w:rsidRPr="00577043" w:rsidRDefault="007A2A83" w:rsidP="00284AE8">
      <w:pPr>
        <w:jc w:val="center"/>
        <w:rPr>
          <w:rFonts w:eastAsia="Times New Roman" w:cs="Times New Roman"/>
          <w:color w:val="000000"/>
          <w:lang w:eastAsia="da-DK"/>
        </w:rPr>
      </w:pPr>
      <w:r w:rsidRPr="00577043">
        <w:rPr>
          <w:rFonts w:eastAsia="Times New Roman" w:cs="Times New Roman"/>
          <w:color w:val="000000"/>
          <w:lang w:eastAsia="da-DK"/>
        </w:rPr>
        <w:t xml:space="preserve">Kapitel </w:t>
      </w:r>
      <w:r w:rsidR="00184755" w:rsidRPr="00577043">
        <w:rPr>
          <w:rFonts w:eastAsia="Times New Roman" w:cs="Times New Roman"/>
          <w:color w:val="000000"/>
          <w:lang w:eastAsia="da-DK"/>
        </w:rPr>
        <w:t>10</w:t>
      </w:r>
    </w:p>
    <w:p w14:paraId="59AA6B47" w14:textId="77777777" w:rsidR="00284AE8" w:rsidRPr="00577043" w:rsidRDefault="00284AE8" w:rsidP="00284AE8">
      <w:pPr>
        <w:rPr>
          <w:rFonts w:eastAsia="Times New Roman" w:cs="Times New Roman"/>
          <w:color w:val="000000"/>
          <w:lang w:eastAsia="da-DK"/>
        </w:rPr>
      </w:pPr>
    </w:p>
    <w:p w14:paraId="79E26937" w14:textId="77777777" w:rsidR="00284AE8" w:rsidRPr="00577043" w:rsidRDefault="00284AE8" w:rsidP="00284AE8">
      <w:pPr>
        <w:pStyle w:val="Overskrift2"/>
        <w:rPr>
          <w:rFonts w:eastAsia="Times New Roman" w:cs="Times New Roman"/>
          <w:b w:val="0"/>
          <w:i/>
          <w:lang w:eastAsia="da-DK"/>
        </w:rPr>
      </w:pPr>
      <w:r w:rsidRPr="00577043">
        <w:rPr>
          <w:rFonts w:eastAsia="Times New Roman" w:cs="Times New Roman"/>
          <w:b w:val="0"/>
          <w:i/>
          <w:lang w:eastAsia="da-DK"/>
        </w:rPr>
        <w:t>Finansiering m</w:t>
      </w:r>
      <w:r w:rsidR="00094421">
        <w:rPr>
          <w:rFonts w:eastAsia="Times New Roman" w:cs="Times New Roman"/>
          <w:b w:val="0"/>
          <w:i/>
          <w:lang w:eastAsia="da-DK"/>
        </w:rPr>
        <w:t>.</w:t>
      </w:r>
      <w:r w:rsidRPr="00577043">
        <w:rPr>
          <w:rFonts w:eastAsia="Times New Roman" w:cs="Times New Roman"/>
          <w:b w:val="0"/>
          <w:i/>
          <w:lang w:eastAsia="da-DK"/>
        </w:rPr>
        <w:t>v.</w:t>
      </w:r>
    </w:p>
    <w:p w14:paraId="7DEB6ECB" w14:textId="77777777" w:rsidR="00284AE8" w:rsidRPr="00577043" w:rsidRDefault="00284AE8" w:rsidP="00284AE8">
      <w:pPr>
        <w:jc w:val="center"/>
        <w:rPr>
          <w:rFonts w:eastAsia="Times New Roman" w:cs="Times New Roman"/>
          <w:color w:val="000000"/>
          <w:lang w:eastAsia="da-DK"/>
        </w:rPr>
      </w:pPr>
    </w:p>
    <w:p w14:paraId="4C065FDA" w14:textId="77777777" w:rsidR="00284AE8" w:rsidRPr="00577043" w:rsidRDefault="003D1DA8" w:rsidP="00284AE8">
      <w:pPr>
        <w:rPr>
          <w:rFonts w:eastAsia="Times New Roman" w:cs="Times New Roman"/>
          <w:color w:val="000000"/>
          <w:lang w:eastAsia="da-DK"/>
        </w:rPr>
      </w:pPr>
      <w:r w:rsidRPr="00577043">
        <w:rPr>
          <w:rFonts w:eastAsia="Times New Roman" w:cs="Times New Roman"/>
          <w:b/>
          <w:color w:val="000000"/>
          <w:lang w:eastAsia="da-DK"/>
        </w:rPr>
        <w:t xml:space="preserve">   § </w:t>
      </w:r>
      <w:r w:rsidR="00F9344C">
        <w:rPr>
          <w:rFonts w:eastAsia="Times New Roman" w:cs="Times New Roman"/>
          <w:b/>
          <w:color w:val="000000"/>
          <w:lang w:eastAsia="da-DK"/>
        </w:rPr>
        <w:t>33</w:t>
      </w:r>
      <w:r w:rsidR="00284AE8" w:rsidRPr="00577043">
        <w:rPr>
          <w:rFonts w:eastAsia="Times New Roman" w:cs="Times New Roman"/>
          <w:b/>
          <w:color w:val="000000"/>
          <w:lang w:eastAsia="da-DK"/>
        </w:rPr>
        <w:t xml:space="preserve">. </w:t>
      </w:r>
      <w:r w:rsidR="00284AE8" w:rsidRPr="00577043">
        <w:rPr>
          <w:rFonts w:eastAsia="Times New Roman" w:cs="Times New Roman"/>
          <w:color w:val="000000"/>
          <w:lang w:eastAsia="da-DK"/>
        </w:rPr>
        <w:t xml:space="preserve">Udgifterne til </w:t>
      </w:r>
      <w:r w:rsidR="0058651B">
        <w:rPr>
          <w:rFonts w:eastAsia="Times New Roman" w:cs="Times New Roman"/>
          <w:color w:val="000000"/>
          <w:lang w:eastAsia="da-DK"/>
        </w:rPr>
        <w:t>Lægemiddelstyrelsen</w:t>
      </w:r>
      <w:r w:rsidR="0004581F" w:rsidRPr="00577043">
        <w:rPr>
          <w:rFonts w:eastAsia="Times New Roman" w:cs="Times New Roman"/>
          <w:color w:val="000000"/>
          <w:lang w:eastAsia="da-DK"/>
        </w:rPr>
        <w:t xml:space="preserve">s og </w:t>
      </w:r>
      <w:r w:rsidR="00284AE8" w:rsidRPr="00577043">
        <w:rPr>
          <w:rFonts w:eastAsia="Times New Roman" w:cs="Times New Roman"/>
          <w:color w:val="000000"/>
          <w:lang w:eastAsia="da-DK"/>
        </w:rPr>
        <w:t>de videnskabsetiske lægemiddelkomiteer</w:t>
      </w:r>
      <w:r w:rsidR="0004581F" w:rsidRPr="00577043">
        <w:rPr>
          <w:rFonts w:eastAsia="Times New Roman" w:cs="Times New Roman"/>
          <w:color w:val="000000"/>
          <w:lang w:eastAsia="da-DK"/>
        </w:rPr>
        <w:t xml:space="preserve">s </w:t>
      </w:r>
      <w:r w:rsidR="004C2357">
        <w:rPr>
          <w:rFonts w:eastAsia="Times New Roman" w:cs="Times New Roman"/>
          <w:color w:val="000000"/>
          <w:lang w:eastAsia="da-DK"/>
        </w:rPr>
        <w:t>udførelse af opgaver</w:t>
      </w:r>
      <w:r w:rsidR="0004581F" w:rsidRPr="00577043">
        <w:rPr>
          <w:rFonts w:eastAsia="Times New Roman" w:cs="Times New Roman"/>
          <w:color w:val="000000"/>
          <w:lang w:eastAsia="da-DK"/>
        </w:rPr>
        <w:t>, som følger af denne lov</w:t>
      </w:r>
      <w:r w:rsidR="00F42CCA" w:rsidRPr="00577043">
        <w:rPr>
          <w:rFonts w:eastAsia="Times New Roman" w:cs="Times New Roman"/>
          <w:color w:val="000000"/>
          <w:lang w:eastAsia="da-DK"/>
        </w:rPr>
        <w:t xml:space="preserve"> og </w:t>
      </w:r>
      <w:r w:rsidR="00294601">
        <w:rPr>
          <w:rFonts w:eastAsia="Times New Roman" w:cs="Times New Roman"/>
          <w:color w:val="000000"/>
          <w:lang w:eastAsia="da-DK"/>
        </w:rPr>
        <w:t>forordningen</w:t>
      </w:r>
      <w:r w:rsidR="0004581F" w:rsidRPr="00577043">
        <w:rPr>
          <w:rFonts w:eastAsia="Times New Roman" w:cs="Times New Roman"/>
          <w:color w:val="000000"/>
          <w:lang w:eastAsia="da-DK"/>
        </w:rPr>
        <w:t xml:space="preserve">, </w:t>
      </w:r>
      <w:r w:rsidR="00284AE8" w:rsidRPr="00577043">
        <w:rPr>
          <w:rFonts w:eastAsia="Times New Roman" w:cs="Times New Roman"/>
          <w:color w:val="000000"/>
          <w:lang w:eastAsia="da-DK"/>
        </w:rPr>
        <w:t xml:space="preserve">afholdes af </w:t>
      </w:r>
      <w:r w:rsidR="00A22EAD" w:rsidRPr="00577043">
        <w:rPr>
          <w:rFonts w:eastAsia="Times New Roman" w:cs="Times New Roman"/>
          <w:color w:val="000000"/>
          <w:lang w:eastAsia="da-DK"/>
        </w:rPr>
        <w:t>sundheds- og ældreministeren</w:t>
      </w:r>
      <w:r w:rsidR="00284AE8" w:rsidRPr="00577043">
        <w:rPr>
          <w:rFonts w:eastAsia="Times New Roman" w:cs="Times New Roman"/>
          <w:color w:val="000000"/>
          <w:lang w:eastAsia="da-DK"/>
        </w:rPr>
        <w:t xml:space="preserve">. </w:t>
      </w:r>
    </w:p>
    <w:p w14:paraId="2B97FCA6" w14:textId="77777777" w:rsidR="008A117C" w:rsidRPr="00577043" w:rsidRDefault="00284AE8" w:rsidP="000C77B9">
      <w:pPr>
        <w:rPr>
          <w:rFonts w:eastAsia="Times New Roman" w:cs="Times New Roman"/>
          <w:color w:val="000000"/>
          <w:lang w:eastAsia="da-DK"/>
        </w:rPr>
      </w:pPr>
      <w:r w:rsidRPr="00577043">
        <w:rPr>
          <w:rFonts w:eastAsia="Times New Roman" w:cs="Times New Roman"/>
          <w:i/>
          <w:color w:val="000000"/>
          <w:lang w:eastAsia="da-DK"/>
        </w:rPr>
        <w:t xml:space="preserve">   Stk. 2.</w:t>
      </w:r>
      <w:r w:rsidRPr="00577043">
        <w:rPr>
          <w:rFonts w:eastAsia="Times New Roman" w:cs="Times New Roman"/>
          <w:color w:val="000000"/>
          <w:lang w:eastAsia="da-DK"/>
        </w:rPr>
        <w:t xml:space="preserve"> </w:t>
      </w:r>
      <w:r w:rsidR="00A22EAD" w:rsidRPr="00577043">
        <w:rPr>
          <w:rFonts w:eastAsia="Times New Roman" w:cs="Times New Roman"/>
          <w:color w:val="000000"/>
          <w:lang w:eastAsia="da-DK"/>
        </w:rPr>
        <w:t>Sundheds- og ældreministeren</w:t>
      </w:r>
      <w:r w:rsidR="00BA0C4D" w:rsidRPr="00577043">
        <w:rPr>
          <w:rFonts w:eastAsia="Times New Roman" w:cs="Times New Roman"/>
          <w:color w:val="000000"/>
          <w:lang w:eastAsia="da-DK"/>
        </w:rPr>
        <w:t xml:space="preserve"> fastsætter regler om opkrævning af et gebyr pr. ansøgning fra virksomheder, hospitaler og forskningsinstitutioner m</w:t>
      </w:r>
      <w:r w:rsidR="00094421">
        <w:rPr>
          <w:rFonts w:eastAsia="Times New Roman" w:cs="Times New Roman"/>
          <w:color w:val="000000"/>
          <w:lang w:eastAsia="da-DK"/>
        </w:rPr>
        <w:t>.</w:t>
      </w:r>
      <w:r w:rsidR="00BA0C4D" w:rsidRPr="00577043">
        <w:rPr>
          <w:rFonts w:eastAsia="Times New Roman" w:cs="Times New Roman"/>
          <w:color w:val="000000"/>
          <w:lang w:eastAsia="da-DK"/>
        </w:rPr>
        <w:t xml:space="preserve">v. til dækning af </w:t>
      </w:r>
      <w:r w:rsidR="0058651B">
        <w:rPr>
          <w:rFonts w:eastAsia="Times New Roman" w:cs="Times New Roman"/>
          <w:color w:val="000000"/>
          <w:lang w:eastAsia="da-DK"/>
        </w:rPr>
        <w:t>Lægemiddelstyrelsen</w:t>
      </w:r>
      <w:r w:rsidR="00BA0C4D" w:rsidRPr="00577043">
        <w:rPr>
          <w:rFonts w:eastAsia="Times New Roman" w:cs="Times New Roman"/>
          <w:color w:val="000000"/>
          <w:lang w:eastAsia="da-DK"/>
        </w:rPr>
        <w:t xml:space="preserve">s og de videnskabsetiske lægemiddelkomiteers virksomhed efter denne lov og regler udstedt i medfør af loven eller i henhold til </w:t>
      </w:r>
      <w:r w:rsidR="00294601">
        <w:rPr>
          <w:rFonts w:eastAsia="Times New Roman" w:cs="Times New Roman"/>
          <w:color w:val="000000"/>
          <w:lang w:eastAsia="da-DK"/>
        </w:rPr>
        <w:t>forordningen</w:t>
      </w:r>
      <w:r w:rsidR="00BA0C4D" w:rsidRPr="00577043">
        <w:rPr>
          <w:rFonts w:eastAsia="Times New Roman" w:cs="Times New Roman"/>
          <w:color w:val="000000"/>
          <w:lang w:eastAsia="da-DK"/>
        </w:rPr>
        <w:t>. Ministeren fastsætter størrelsen af gebyret.</w:t>
      </w:r>
    </w:p>
    <w:p w14:paraId="00C4269A" w14:textId="77777777" w:rsidR="00BA0C4D" w:rsidRPr="00577043" w:rsidRDefault="00BA0C4D" w:rsidP="00BA0C4D">
      <w:pPr>
        <w:rPr>
          <w:rFonts w:eastAsia="Times New Roman" w:cs="Times New Roman"/>
          <w:color w:val="000000"/>
          <w:lang w:eastAsia="da-DK"/>
        </w:rPr>
      </w:pPr>
      <w:r w:rsidRPr="00577043">
        <w:rPr>
          <w:rFonts w:eastAsia="Times New Roman" w:cs="Times New Roman"/>
          <w:color w:val="000000"/>
          <w:lang w:eastAsia="da-DK"/>
        </w:rPr>
        <w:t xml:space="preserve">   </w:t>
      </w:r>
      <w:r w:rsidRPr="00577043">
        <w:rPr>
          <w:rFonts w:eastAsia="Times New Roman" w:cs="Times New Roman"/>
          <w:i/>
          <w:color w:val="000000"/>
          <w:lang w:eastAsia="da-DK"/>
        </w:rPr>
        <w:t>Stk. 3.</w:t>
      </w:r>
      <w:r w:rsidRPr="00577043">
        <w:rPr>
          <w:rFonts w:eastAsia="Times New Roman" w:cs="Times New Roman"/>
          <w:color w:val="000000"/>
          <w:lang w:eastAsia="da-DK"/>
        </w:rPr>
        <w:t xml:space="preserve"> </w:t>
      </w:r>
      <w:r w:rsidR="00A22EAD" w:rsidRPr="00577043">
        <w:rPr>
          <w:rFonts w:eastAsia="Times New Roman" w:cs="Times New Roman"/>
          <w:color w:val="000000"/>
          <w:lang w:eastAsia="da-DK"/>
        </w:rPr>
        <w:t>Sundheds- og ældreministeren</w:t>
      </w:r>
      <w:r w:rsidRPr="00577043">
        <w:rPr>
          <w:rFonts w:eastAsia="Times New Roman" w:cs="Times New Roman"/>
          <w:color w:val="000000"/>
          <w:lang w:eastAsia="da-DK"/>
        </w:rPr>
        <w:t xml:space="preserve"> fastsætter vederlag til medlemmerne af de videnskabsetiske lægemiddelkomiteer og deres suppleanter. </w:t>
      </w:r>
    </w:p>
    <w:p w14:paraId="0009A190" w14:textId="77777777" w:rsidR="00BA0C4D" w:rsidRPr="00577043" w:rsidRDefault="00BA0C4D" w:rsidP="000C77B9">
      <w:pPr>
        <w:rPr>
          <w:rFonts w:eastAsia="Times New Roman" w:cs="Times New Roman"/>
          <w:color w:val="000000"/>
          <w:lang w:eastAsia="da-DK"/>
        </w:rPr>
      </w:pPr>
    </w:p>
    <w:p w14:paraId="0C87CCF6" w14:textId="77777777" w:rsidR="00BA0C4D" w:rsidRPr="00577043" w:rsidRDefault="002805DB" w:rsidP="000C77B9">
      <w:pPr>
        <w:rPr>
          <w:rFonts w:eastAsia="Times New Roman" w:cs="Times New Roman"/>
          <w:color w:val="000000"/>
          <w:lang w:eastAsia="da-DK"/>
        </w:rPr>
      </w:pPr>
      <w:r w:rsidRPr="00577043">
        <w:rPr>
          <w:rFonts w:eastAsia="Times New Roman" w:cs="Times New Roman"/>
          <w:color w:val="000000"/>
          <w:lang w:eastAsia="da-DK"/>
        </w:rPr>
        <w:t xml:space="preserve"> </w:t>
      </w:r>
    </w:p>
    <w:p w14:paraId="50CEA875" w14:textId="77777777" w:rsidR="00284AE8" w:rsidRPr="00577043" w:rsidRDefault="00284AE8" w:rsidP="00CB2276">
      <w:pPr>
        <w:rPr>
          <w:rFonts w:eastAsia="Times New Roman" w:cs="Times New Roman"/>
          <w:color w:val="000000"/>
          <w:lang w:eastAsia="da-DK"/>
        </w:rPr>
      </w:pPr>
    </w:p>
    <w:p w14:paraId="23216EDE" w14:textId="77777777" w:rsidR="00ED0D3A" w:rsidRPr="00577043" w:rsidRDefault="007A2A83" w:rsidP="00CB2276">
      <w:pPr>
        <w:jc w:val="center"/>
        <w:rPr>
          <w:rFonts w:eastAsia="Times New Roman" w:cs="Times New Roman"/>
          <w:color w:val="000000"/>
          <w:lang w:eastAsia="da-DK"/>
        </w:rPr>
      </w:pPr>
      <w:r w:rsidRPr="00577043">
        <w:rPr>
          <w:rFonts w:eastAsia="Times New Roman" w:cs="Times New Roman"/>
          <w:color w:val="000000"/>
          <w:lang w:eastAsia="da-DK"/>
        </w:rPr>
        <w:t xml:space="preserve">Kapitel </w:t>
      </w:r>
      <w:r w:rsidR="00184755" w:rsidRPr="00577043">
        <w:rPr>
          <w:rFonts w:eastAsia="Times New Roman" w:cs="Times New Roman"/>
          <w:color w:val="000000"/>
          <w:lang w:eastAsia="da-DK"/>
        </w:rPr>
        <w:t>11</w:t>
      </w:r>
    </w:p>
    <w:p w14:paraId="54A70FD7" w14:textId="77777777" w:rsidR="00ED0D3A" w:rsidRPr="00577043" w:rsidRDefault="00ED0D3A" w:rsidP="00CB2276">
      <w:pPr>
        <w:jc w:val="center"/>
        <w:rPr>
          <w:rFonts w:eastAsia="Times New Roman" w:cs="Times New Roman"/>
          <w:i/>
          <w:color w:val="000000"/>
          <w:lang w:eastAsia="da-DK"/>
        </w:rPr>
      </w:pPr>
    </w:p>
    <w:p w14:paraId="2817991A" w14:textId="77777777" w:rsidR="00305657" w:rsidRPr="00577043" w:rsidRDefault="0016270D" w:rsidP="00CB2276">
      <w:pPr>
        <w:pStyle w:val="Overskrift2"/>
        <w:rPr>
          <w:rFonts w:eastAsia="Times New Roman" w:cs="Times New Roman"/>
          <w:b w:val="0"/>
          <w:i/>
          <w:lang w:eastAsia="da-DK"/>
        </w:rPr>
      </w:pPr>
      <w:r>
        <w:rPr>
          <w:rFonts w:eastAsia="Times New Roman" w:cs="Times New Roman"/>
          <w:b w:val="0"/>
          <w:i/>
          <w:lang w:eastAsia="da-DK"/>
        </w:rPr>
        <w:t>G</w:t>
      </w:r>
      <w:r w:rsidR="00305657" w:rsidRPr="00577043">
        <w:rPr>
          <w:rFonts w:eastAsia="Times New Roman" w:cs="Times New Roman"/>
          <w:b w:val="0"/>
          <w:i/>
          <w:lang w:eastAsia="da-DK"/>
        </w:rPr>
        <w:t>odtgørelse</w:t>
      </w:r>
      <w:r>
        <w:rPr>
          <w:rFonts w:eastAsia="Times New Roman" w:cs="Times New Roman"/>
          <w:b w:val="0"/>
          <w:i/>
          <w:lang w:eastAsia="da-DK"/>
        </w:rPr>
        <w:t xml:space="preserve"> og straf</w:t>
      </w:r>
    </w:p>
    <w:p w14:paraId="2C5946CC" w14:textId="77777777" w:rsidR="00ED0D3A" w:rsidRPr="00577043" w:rsidRDefault="00305657" w:rsidP="00CB2276">
      <w:pPr>
        <w:rPr>
          <w:rFonts w:eastAsia="Times New Roman" w:cs="Times New Roman"/>
          <w:b/>
          <w:color w:val="000000"/>
          <w:lang w:eastAsia="da-DK"/>
        </w:rPr>
      </w:pPr>
      <w:r w:rsidRPr="00577043">
        <w:rPr>
          <w:rFonts w:eastAsia="Times New Roman" w:cs="Times New Roman"/>
          <w:b/>
          <w:color w:val="000000"/>
          <w:lang w:eastAsia="da-DK"/>
        </w:rPr>
        <w:t xml:space="preserve">   </w:t>
      </w:r>
    </w:p>
    <w:p w14:paraId="77FDDD78" w14:textId="77777777" w:rsidR="0016270D" w:rsidRPr="00577043" w:rsidRDefault="00CE0897" w:rsidP="0016270D">
      <w:pPr>
        <w:rPr>
          <w:rFonts w:eastAsia="Times New Roman" w:cs="Times New Roman"/>
          <w:color w:val="000000"/>
          <w:lang w:eastAsia="da-DK"/>
        </w:rPr>
      </w:pPr>
      <w:r w:rsidRPr="00577043">
        <w:rPr>
          <w:rFonts w:eastAsia="Times New Roman" w:cs="Times New Roman"/>
          <w:b/>
          <w:color w:val="000000"/>
          <w:lang w:eastAsia="da-DK"/>
        </w:rPr>
        <w:t xml:space="preserve">   </w:t>
      </w:r>
      <w:r w:rsidR="0016270D">
        <w:rPr>
          <w:rFonts w:eastAsia="Times New Roman" w:cs="Times New Roman"/>
          <w:b/>
          <w:color w:val="000000"/>
          <w:lang w:eastAsia="da-DK"/>
        </w:rPr>
        <w:t>§ 34</w:t>
      </w:r>
      <w:r w:rsidR="0016270D" w:rsidRPr="00577043">
        <w:rPr>
          <w:rFonts w:eastAsia="Times New Roman" w:cs="Times New Roman"/>
          <w:b/>
          <w:color w:val="000000"/>
          <w:lang w:eastAsia="da-DK"/>
        </w:rPr>
        <w:t>.</w:t>
      </w:r>
      <w:r w:rsidR="0016270D" w:rsidRPr="00577043">
        <w:rPr>
          <w:rFonts w:eastAsia="Times New Roman" w:cs="Times New Roman"/>
          <w:color w:val="000000"/>
          <w:lang w:eastAsia="da-DK"/>
        </w:rPr>
        <w:t xml:space="preserve"> Sponsor eller, hvis denne ikke har værneting i Danmark, investigator, skal betale en godtgørelse på 1.350 kr. til personer, som har deltaget i et projekt iværksat i strid med artikel 4 eller artikel 28-</w:t>
      </w:r>
      <w:r w:rsidR="0016270D">
        <w:rPr>
          <w:rFonts w:eastAsia="Times New Roman" w:cs="Times New Roman"/>
          <w:color w:val="000000"/>
          <w:lang w:eastAsia="da-DK"/>
        </w:rPr>
        <w:t>35</w:t>
      </w:r>
      <w:r w:rsidR="0016270D" w:rsidRPr="00577043">
        <w:rPr>
          <w:rFonts w:eastAsia="Times New Roman" w:cs="Times New Roman"/>
          <w:color w:val="000000"/>
          <w:lang w:eastAsia="da-DK"/>
        </w:rPr>
        <w:t xml:space="preserve"> i </w:t>
      </w:r>
      <w:r w:rsidR="0016270D">
        <w:rPr>
          <w:rFonts w:eastAsia="Times New Roman" w:cs="Times New Roman"/>
          <w:color w:val="000000"/>
          <w:lang w:eastAsia="da-DK"/>
        </w:rPr>
        <w:t>forordningen</w:t>
      </w:r>
      <w:r w:rsidR="0016270D" w:rsidRPr="00577043">
        <w:rPr>
          <w:rFonts w:eastAsia="Times New Roman" w:cs="Times New Roman"/>
          <w:color w:val="000000"/>
          <w:lang w:eastAsia="da-DK"/>
        </w:rPr>
        <w:t>.</w:t>
      </w:r>
    </w:p>
    <w:p w14:paraId="61262ADF" w14:textId="77777777" w:rsidR="0016270D" w:rsidRPr="00577043" w:rsidRDefault="0016270D" w:rsidP="0016270D">
      <w:pPr>
        <w:rPr>
          <w:rFonts w:eastAsia="Times New Roman" w:cs="Times New Roman"/>
          <w:color w:val="000000"/>
          <w:lang w:eastAsia="da-DK"/>
        </w:rPr>
      </w:pPr>
      <w:r w:rsidRPr="00577043">
        <w:rPr>
          <w:rFonts w:eastAsia="Times New Roman" w:cs="Times New Roman"/>
          <w:color w:val="000000"/>
          <w:lang w:eastAsia="da-DK"/>
        </w:rPr>
        <w:t xml:space="preserve">   </w:t>
      </w:r>
      <w:r w:rsidRPr="00577043">
        <w:rPr>
          <w:rFonts w:eastAsia="Times New Roman" w:cs="Times New Roman"/>
          <w:i/>
          <w:color w:val="000000"/>
          <w:lang w:eastAsia="da-DK"/>
        </w:rPr>
        <w:t>Stk. 2.</w:t>
      </w:r>
      <w:r w:rsidRPr="00577043">
        <w:rPr>
          <w:rFonts w:eastAsia="Times New Roman" w:cs="Times New Roman"/>
          <w:color w:val="000000"/>
          <w:lang w:eastAsia="da-DK"/>
        </w:rPr>
        <w:t xml:space="preserve"> Godtgørelsens størrelse reguleres årligt pr. 1. januar med 2,0 pct. tillagt tilpasningsprocenten for det pågældende finansår, jf. lov om en satsreguleringsprocent. De herefter fremkomne beløb afrundes til </w:t>
      </w:r>
      <w:r w:rsidRPr="00577043">
        <w:rPr>
          <w:rFonts w:eastAsia="Times New Roman" w:cs="Times New Roman"/>
          <w:color w:val="000000"/>
          <w:lang w:eastAsia="da-DK"/>
        </w:rPr>
        <w:lastRenderedPageBreak/>
        <w:t>nærmeste med 50 delelige kronebeløb. Reguleringen sker på grundlag af de på reguleringstidspunktet gældende beløb før afrunding.</w:t>
      </w:r>
    </w:p>
    <w:p w14:paraId="1047849B" w14:textId="77777777" w:rsidR="0016270D" w:rsidRPr="00577043" w:rsidRDefault="0016270D" w:rsidP="0016270D">
      <w:pPr>
        <w:rPr>
          <w:rFonts w:eastAsia="Times New Roman" w:cs="Times New Roman"/>
          <w:color w:val="000000"/>
          <w:lang w:eastAsia="da-DK"/>
        </w:rPr>
      </w:pPr>
      <w:r w:rsidRPr="00577043">
        <w:rPr>
          <w:rFonts w:eastAsia="Times New Roman" w:cs="Times New Roman"/>
          <w:color w:val="000000"/>
          <w:lang w:eastAsia="da-DK"/>
        </w:rPr>
        <w:t xml:space="preserve">   </w:t>
      </w:r>
      <w:r w:rsidRPr="00577043">
        <w:rPr>
          <w:rFonts w:eastAsia="Times New Roman" w:cs="Times New Roman"/>
          <w:i/>
          <w:color w:val="000000"/>
          <w:lang w:eastAsia="da-DK"/>
        </w:rPr>
        <w:t>Stk. 3</w:t>
      </w:r>
      <w:r w:rsidRPr="00577043">
        <w:rPr>
          <w:rFonts w:eastAsia="Times New Roman" w:cs="Times New Roman"/>
          <w:color w:val="000000"/>
          <w:lang w:eastAsia="da-DK"/>
        </w:rPr>
        <w:t>. Godtgørelse fastsættes på grundlag af de beløb, der var gældende på det tidspunkt, hvor forsøgspersonen deltog i det kliniske forsøg.</w:t>
      </w:r>
    </w:p>
    <w:p w14:paraId="22B6EEC0" w14:textId="77777777" w:rsidR="0016270D" w:rsidRPr="00577043" w:rsidRDefault="0016270D" w:rsidP="0016270D">
      <w:pPr>
        <w:rPr>
          <w:rFonts w:eastAsia="Times New Roman" w:cs="Times New Roman"/>
          <w:color w:val="000000"/>
          <w:lang w:eastAsia="da-DK"/>
        </w:rPr>
      </w:pPr>
      <w:r w:rsidRPr="00577043">
        <w:rPr>
          <w:rFonts w:eastAsia="Times New Roman" w:cs="Times New Roman"/>
          <w:color w:val="000000"/>
          <w:lang w:eastAsia="da-DK"/>
        </w:rPr>
        <w:t xml:space="preserve">   </w:t>
      </w:r>
      <w:r w:rsidRPr="00577043">
        <w:rPr>
          <w:rFonts w:eastAsia="Times New Roman" w:cs="Times New Roman"/>
          <w:i/>
          <w:color w:val="000000"/>
          <w:lang w:eastAsia="da-DK"/>
        </w:rPr>
        <w:t xml:space="preserve">Stk. 4. </w:t>
      </w:r>
      <w:r w:rsidRPr="00577043">
        <w:rPr>
          <w:rFonts w:eastAsia="Times New Roman" w:cs="Times New Roman"/>
          <w:color w:val="000000"/>
          <w:lang w:eastAsia="da-DK"/>
        </w:rPr>
        <w:t>Bestemmelsen i stk. 1 berører ikke en persons adgang til eller størrelsen af erstatning efter dansk rets almindelige regler.</w:t>
      </w:r>
    </w:p>
    <w:p w14:paraId="5EF1F751" w14:textId="77777777" w:rsidR="0016270D" w:rsidRPr="00577043" w:rsidRDefault="0016270D" w:rsidP="0016270D">
      <w:pPr>
        <w:rPr>
          <w:rFonts w:eastAsia="Times New Roman" w:cs="Times New Roman"/>
          <w:color w:val="000000"/>
          <w:lang w:eastAsia="da-DK"/>
        </w:rPr>
      </w:pPr>
      <w:r w:rsidRPr="00577043">
        <w:rPr>
          <w:rFonts w:eastAsia="Times New Roman" w:cs="Times New Roman"/>
          <w:color w:val="000000"/>
          <w:lang w:eastAsia="da-DK"/>
        </w:rPr>
        <w:t xml:space="preserve">   S</w:t>
      </w:r>
      <w:r w:rsidRPr="00577043">
        <w:rPr>
          <w:rFonts w:eastAsia="Times New Roman" w:cs="Times New Roman"/>
          <w:i/>
          <w:color w:val="000000"/>
          <w:lang w:eastAsia="da-DK"/>
        </w:rPr>
        <w:t xml:space="preserve">tk. 5. </w:t>
      </w:r>
      <w:r w:rsidRPr="00577043">
        <w:rPr>
          <w:rFonts w:eastAsia="Times New Roman" w:cs="Times New Roman"/>
          <w:color w:val="000000"/>
          <w:lang w:eastAsia="da-DK"/>
        </w:rPr>
        <w:t xml:space="preserve">En videnskabsetisk lægemiddelkomité, som bliver opmærksom på, at en forsøgsperson kan have et krav på godtgørelse i henhold til stk. 1, kan påbyde sponsor, </w:t>
      </w:r>
      <w:r w:rsidR="001103F3">
        <w:rPr>
          <w:rFonts w:eastAsia="Times New Roman" w:cs="Times New Roman"/>
          <w:color w:val="000000"/>
          <w:lang w:eastAsia="da-DK"/>
        </w:rPr>
        <w:t xml:space="preserve">eller sponsors repræsentant, </w:t>
      </w:r>
      <w:r w:rsidRPr="00577043">
        <w:rPr>
          <w:rFonts w:eastAsia="Times New Roman" w:cs="Times New Roman"/>
          <w:color w:val="000000"/>
          <w:lang w:eastAsia="da-DK"/>
        </w:rPr>
        <w:t>eller hvis denne ikke har værneting i Danmark, investigator, at informere de berørte personer herom. Komiteen kan stille krav om form og indhold af informationen. Komiteen kan endvidere sætte en frist for udsendelse af informationen.</w:t>
      </w:r>
    </w:p>
    <w:p w14:paraId="03A9C7C7" w14:textId="77777777" w:rsidR="0016270D" w:rsidRPr="00577043" w:rsidRDefault="0016270D" w:rsidP="0016270D">
      <w:pPr>
        <w:rPr>
          <w:rFonts w:eastAsia="Times New Roman" w:cs="Times New Roman"/>
          <w:color w:val="000000"/>
          <w:lang w:eastAsia="da-DK"/>
        </w:rPr>
      </w:pPr>
    </w:p>
    <w:p w14:paraId="2361DF9B" w14:textId="77777777" w:rsidR="00173F41" w:rsidRPr="00577043" w:rsidRDefault="00305657" w:rsidP="00173F41">
      <w:pPr>
        <w:rPr>
          <w:rFonts w:eastAsia="Times New Roman" w:cs="Times New Roman"/>
          <w:color w:val="000000"/>
          <w:lang w:eastAsia="da-DK"/>
        </w:rPr>
      </w:pPr>
      <w:r w:rsidRPr="00577043">
        <w:rPr>
          <w:rFonts w:eastAsia="Times New Roman" w:cs="Times New Roman"/>
          <w:b/>
          <w:color w:val="000000"/>
          <w:lang w:eastAsia="da-DK"/>
        </w:rPr>
        <w:t xml:space="preserve">§ </w:t>
      </w:r>
      <w:r w:rsidR="0016270D">
        <w:rPr>
          <w:rFonts w:eastAsia="Times New Roman" w:cs="Times New Roman"/>
          <w:b/>
          <w:color w:val="000000"/>
          <w:lang w:eastAsia="da-DK"/>
        </w:rPr>
        <w:t>35</w:t>
      </w:r>
      <w:r w:rsidRPr="00577043">
        <w:rPr>
          <w:rFonts w:eastAsia="Times New Roman" w:cs="Times New Roman"/>
          <w:b/>
          <w:color w:val="000000"/>
          <w:lang w:eastAsia="da-DK"/>
        </w:rPr>
        <w:t>.</w:t>
      </w:r>
      <w:r w:rsidRPr="00577043">
        <w:rPr>
          <w:rFonts w:eastAsia="Times New Roman" w:cs="Times New Roman"/>
          <w:color w:val="000000"/>
          <w:lang w:eastAsia="da-DK"/>
        </w:rPr>
        <w:t xml:space="preserve"> </w:t>
      </w:r>
      <w:r w:rsidR="00ED0D3A" w:rsidRPr="00577043">
        <w:rPr>
          <w:rFonts w:eastAsia="Times New Roman" w:cs="Times New Roman"/>
          <w:color w:val="000000"/>
          <w:lang w:eastAsia="da-DK"/>
        </w:rPr>
        <w:t xml:space="preserve"> </w:t>
      </w:r>
      <w:r w:rsidR="00173F41" w:rsidRPr="00577043">
        <w:rPr>
          <w:rFonts w:eastAsia="Times New Roman" w:cs="Times New Roman"/>
          <w:color w:val="000000"/>
          <w:lang w:eastAsia="da-DK"/>
        </w:rPr>
        <w:t xml:space="preserve">Medmindre højere straf er forskyldt efter den øvrige lovgivning, straffes med bøde eller fængsel indtil 4 måneder den, der </w:t>
      </w:r>
    </w:p>
    <w:p w14:paraId="7CCC0DA1" w14:textId="77777777" w:rsidR="00173F41" w:rsidRPr="00577043" w:rsidRDefault="00173F41" w:rsidP="00173F41">
      <w:pPr>
        <w:rPr>
          <w:rFonts w:eastAsia="Times New Roman" w:cs="Times New Roman"/>
          <w:color w:val="000000"/>
          <w:lang w:eastAsia="da-DK"/>
        </w:rPr>
      </w:pPr>
      <w:r w:rsidRPr="00577043">
        <w:rPr>
          <w:rFonts w:eastAsia="Times New Roman" w:cs="Times New Roman"/>
          <w:color w:val="000000"/>
          <w:lang w:eastAsia="da-DK"/>
        </w:rPr>
        <w:t xml:space="preserve">1) iværksætter et klinisk forsøg med lægemidler i strid med artikel 4 og artikel 15 i </w:t>
      </w:r>
      <w:r w:rsidR="00294601">
        <w:rPr>
          <w:rFonts w:eastAsia="Times New Roman" w:cs="Times New Roman"/>
          <w:color w:val="000000"/>
          <w:lang w:eastAsia="da-DK"/>
        </w:rPr>
        <w:t>forordningen</w:t>
      </w:r>
      <w:r w:rsidRPr="00577043">
        <w:rPr>
          <w:rFonts w:eastAsia="Times New Roman" w:cs="Times New Roman"/>
          <w:color w:val="000000"/>
          <w:lang w:eastAsia="da-DK"/>
        </w:rPr>
        <w:t xml:space="preserve"> eller </w:t>
      </w:r>
    </w:p>
    <w:p w14:paraId="3B33CEE7" w14:textId="77777777" w:rsidR="00173F41" w:rsidRPr="00577043" w:rsidRDefault="00173F41" w:rsidP="00173F41">
      <w:pPr>
        <w:rPr>
          <w:rFonts w:eastAsia="Times New Roman" w:cs="Times New Roman"/>
          <w:color w:val="000000"/>
          <w:lang w:eastAsia="da-DK"/>
        </w:rPr>
      </w:pPr>
      <w:r w:rsidRPr="00577043">
        <w:rPr>
          <w:rFonts w:eastAsia="Times New Roman" w:cs="Times New Roman"/>
          <w:color w:val="000000"/>
          <w:lang w:eastAsia="da-DK"/>
        </w:rPr>
        <w:t>2) undlader at efterkomme underretningspligten, jf. artikel 12, artikel 36, stk. 1, 2 og 3, artikel 37, stk. 1-3,</w:t>
      </w:r>
      <w:r w:rsidR="00550371">
        <w:rPr>
          <w:rFonts w:eastAsia="Times New Roman" w:cs="Times New Roman"/>
          <w:color w:val="000000"/>
          <w:lang w:eastAsia="da-DK"/>
        </w:rPr>
        <w:t xml:space="preserve"> </w:t>
      </w:r>
      <w:r w:rsidRPr="00577043">
        <w:rPr>
          <w:rFonts w:eastAsia="Times New Roman" w:cs="Times New Roman"/>
          <w:color w:val="000000"/>
          <w:lang w:eastAsia="da-DK"/>
        </w:rPr>
        <w:t>5</w:t>
      </w:r>
      <w:r w:rsidR="00B60DDE">
        <w:rPr>
          <w:rFonts w:eastAsia="Times New Roman" w:cs="Times New Roman"/>
          <w:color w:val="000000"/>
          <w:lang w:eastAsia="da-DK"/>
        </w:rPr>
        <w:t xml:space="preserve"> og </w:t>
      </w:r>
      <w:r w:rsidRPr="00577043">
        <w:rPr>
          <w:rFonts w:eastAsia="Times New Roman" w:cs="Times New Roman"/>
          <w:color w:val="000000"/>
          <w:lang w:eastAsia="da-DK"/>
        </w:rPr>
        <w:t>6, artikel 38, stk. 1, artikel</w:t>
      </w:r>
      <w:r w:rsidR="00030BFE" w:rsidRPr="00577043">
        <w:rPr>
          <w:rFonts w:eastAsia="Times New Roman" w:cs="Times New Roman"/>
          <w:color w:val="000000"/>
          <w:lang w:eastAsia="da-DK"/>
        </w:rPr>
        <w:t xml:space="preserve"> 52, stk. 1, artikel 53, stk. 1 og </w:t>
      </w:r>
      <w:r w:rsidRPr="00577043">
        <w:rPr>
          <w:rFonts w:eastAsia="Times New Roman" w:cs="Times New Roman"/>
          <w:color w:val="000000"/>
          <w:lang w:eastAsia="da-DK"/>
        </w:rPr>
        <w:t xml:space="preserve">2, og artikel 54 i </w:t>
      </w:r>
      <w:r w:rsidR="00294601">
        <w:rPr>
          <w:rFonts w:eastAsia="Times New Roman" w:cs="Times New Roman"/>
          <w:color w:val="000000"/>
          <w:lang w:eastAsia="da-DK"/>
        </w:rPr>
        <w:t>forordningen</w:t>
      </w:r>
      <w:r w:rsidRPr="00577043">
        <w:rPr>
          <w:rFonts w:eastAsia="Times New Roman" w:cs="Times New Roman"/>
          <w:color w:val="000000"/>
          <w:lang w:eastAsia="da-DK"/>
        </w:rPr>
        <w:t xml:space="preserve"> eller</w:t>
      </w:r>
    </w:p>
    <w:p w14:paraId="4D953FAC" w14:textId="77777777" w:rsidR="00173F41" w:rsidRPr="00577043" w:rsidRDefault="00173F41" w:rsidP="00173F41">
      <w:pPr>
        <w:rPr>
          <w:rFonts w:eastAsia="Times New Roman" w:cs="Times New Roman"/>
          <w:color w:val="000000"/>
          <w:lang w:eastAsia="da-DK"/>
        </w:rPr>
      </w:pPr>
      <w:r w:rsidRPr="00577043">
        <w:rPr>
          <w:rFonts w:eastAsia="Times New Roman" w:cs="Times New Roman"/>
          <w:color w:val="000000"/>
          <w:lang w:eastAsia="da-DK"/>
        </w:rPr>
        <w:t>3) undlader at efterkomme sikkerhedsindberetninger efter forordningens artikel 42, stk. 1, artikel 43, stk. 1, artikel 46, stk. 1, eller</w:t>
      </w:r>
    </w:p>
    <w:p w14:paraId="71B87575" w14:textId="77777777" w:rsidR="00173F41" w:rsidRPr="00577043" w:rsidRDefault="00173F41" w:rsidP="00173F41">
      <w:pPr>
        <w:rPr>
          <w:rFonts w:eastAsia="Times New Roman" w:cs="Times New Roman"/>
          <w:color w:val="000000"/>
          <w:lang w:eastAsia="da-DK"/>
        </w:rPr>
      </w:pPr>
      <w:r w:rsidRPr="00577043">
        <w:rPr>
          <w:rFonts w:eastAsia="Times New Roman" w:cs="Times New Roman"/>
          <w:color w:val="000000"/>
          <w:lang w:eastAsia="da-DK"/>
        </w:rPr>
        <w:t xml:space="preserve">4) ikke overholder artikel 47 om gennemførelse af forsøg i overensstemmelse med forsøgsprotokollen og god klinisk praksis eller artikel 48 om monitorering i </w:t>
      </w:r>
      <w:r w:rsidR="00294601">
        <w:rPr>
          <w:rFonts w:eastAsia="Times New Roman" w:cs="Times New Roman"/>
          <w:color w:val="000000"/>
          <w:lang w:eastAsia="da-DK"/>
        </w:rPr>
        <w:t>forordningen</w:t>
      </w:r>
      <w:r w:rsidRPr="00577043">
        <w:rPr>
          <w:rFonts w:eastAsia="Times New Roman" w:cs="Times New Roman"/>
          <w:color w:val="000000"/>
          <w:lang w:eastAsia="da-DK"/>
        </w:rPr>
        <w:t xml:space="preserve"> eller</w:t>
      </w:r>
    </w:p>
    <w:p w14:paraId="4C7F10C0" w14:textId="77777777" w:rsidR="003C37C2" w:rsidRPr="00577043" w:rsidRDefault="00514548" w:rsidP="00173F41">
      <w:pPr>
        <w:rPr>
          <w:rFonts w:eastAsia="Times New Roman" w:cs="Times New Roman"/>
          <w:color w:val="000000"/>
          <w:lang w:eastAsia="da-DK"/>
        </w:rPr>
      </w:pPr>
      <w:r>
        <w:rPr>
          <w:rFonts w:eastAsia="Times New Roman" w:cs="Times New Roman"/>
          <w:color w:val="000000"/>
          <w:lang w:eastAsia="da-DK"/>
        </w:rPr>
        <w:t>5</w:t>
      </w:r>
      <w:r w:rsidR="003C37C2" w:rsidRPr="00577043">
        <w:rPr>
          <w:rFonts w:eastAsia="Times New Roman" w:cs="Times New Roman"/>
          <w:color w:val="000000"/>
          <w:lang w:eastAsia="da-DK"/>
        </w:rPr>
        <w:t xml:space="preserve">) overtræder artikel 63 i </w:t>
      </w:r>
      <w:r w:rsidR="00294601">
        <w:rPr>
          <w:rFonts w:eastAsia="Times New Roman" w:cs="Times New Roman"/>
          <w:color w:val="000000"/>
          <w:lang w:eastAsia="da-DK"/>
        </w:rPr>
        <w:t>forordningen</w:t>
      </w:r>
      <w:r w:rsidR="003C37C2" w:rsidRPr="00577043">
        <w:rPr>
          <w:rFonts w:eastAsia="Times New Roman" w:cs="Times New Roman"/>
          <w:color w:val="000000"/>
          <w:lang w:eastAsia="da-DK"/>
        </w:rPr>
        <w:t xml:space="preserve"> om fremstilling og import af forsøgslægemidler og artikel 65 om hjælpelægemidler</w:t>
      </w:r>
      <w:r w:rsidR="009457F5" w:rsidRPr="00577043">
        <w:rPr>
          <w:rFonts w:eastAsia="Times New Roman" w:cs="Times New Roman"/>
          <w:color w:val="000000"/>
          <w:lang w:eastAsia="da-DK"/>
        </w:rPr>
        <w:t xml:space="preserve"> eller</w:t>
      </w:r>
    </w:p>
    <w:p w14:paraId="41B26A58" w14:textId="77777777" w:rsidR="00173F41" w:rsidRPr="00577043" w:rsidRDefault="00514548" w:rsidP="00173F41">
      <w:pPr>
        <w:rPr>
          <w:rFonts w:eastAsia="Times New Roman" w:cs="Times New Roman"/>
          <w:color w:val="000000"/>
          <w:lang w:eastAsia="da-DK"/>
        </w:rPr>
      </w:pPr>
      <w:r>
        <w:rPr>
          <w:rFonts w:eastAsia="Times New Roman" w:cs="Times New Roman"/>
          <w:color w:val="000000"/>
          <w:lang w:eastAsia="da-DK"/>
        </w:rPr>
        <w:t>6</w:t>
      </w:r>
      <w:r w:rsidR="00173F41" w:rsidRPr="00577043">
        <w:rPr>
          <w:rFonts w:eastAsia="Times New Roman" w:cs="Times New Roman"/>
          <w:color w:val="000000"/>
          <w:lang w:eastAsia="da-DK"/>
        </w:rPr>
        <w:t xml:space="preserve">) undlader at efterkomme et påbud i medfør af artikel 77, stk. 1, i </w:t>
      </w:r>
      <w:r w:rsidR="00294601">
        <w:rPr>
          <w:rFonts w:eastAsia="Times New Roman" w:cs="Times New Roman"/>
          <w:color w:val="000000"/>
          <w:lang w:eastAsia="da-DK"/>
        </w:rPr>
        <w:t>forordningen</w:t>
      </w:r>
      <w:r w:rsidR="00173F41" w:rsidRPr="00577043">
        <w:rPr>
          <w:rFonts w:eastAsia="Times New Roman" w:cs="Times New Roman"/>
          <w:color w:val="000000"/>
          <w:lang w:eastAsia="da-DK"/>
        </w:rPr>
        <w:t xml:space="preserve"> eller</w:t>
      </w:r>
    </w:p>
    <w:p w14:paraId="74A68E94" w14:textId="77777777" w:rsidR="00173F41" w:rsidRPr="00577043" w:rsidRDefault="00514548" w:rsidP="00173F41">
      <w:pPr>
        <w:rPr>
          <w:rFonts w:eastAsia="Times New Roman" w:cs="Times New Roman"/>
          <w:color w:val="000000"/>
          <w:lang w:eastAsia="da-DK"/>
        </w:rPr>
      </w:pPr>
      <w:r>
        <w:rPr>
          <w:rFonts w:eastAsia="Times New Roman" w:cs="Times New Roman"/>
          <w:color w:val="000000"/>
          <w:lang w:eastAsia="da-DK"/>
        </w:rPr>
        <w:t>7</w:t>
      </w:r>
      <w:r w:rsidR="00173F41" w:rsidRPr="00577043">
        <w:rPr>
          <w:rFonts w:eastAsia="Times New Roman" w:cs="Times New Roman"/>
          <w:color w:val="000000"/>
          <w:lang w:eastAsia="da-DK"/>
        </w:rPr>
        <w:t>) undlader at efterkomme en opl</w:t>
      </w:r>
      <w:r w:rsidR="00030BFE" w:rsidRPr="00577043">
        <w:rPr>
          <w:rFonts w:eastAsia="Times New Roman" w:cs="Times New Roman"/>
          <w:color w:val="000000"/>
          <w:lang w:eastAsia="da-DK"/>
        </w:rPr>
        <w:t>ysningspligt, jf. §§ 1</w:t>
      </w:r>
      <w:r w:rsidR="00D6210D">
        <w:rPr>
          <w:rFonts w:eastAsia="Times New Roman" w:cs="Times New Roman"/>
          <w:color w:val="000000"/>
          <w:lang w:eastAsia="da-DK"/>
        </w:rPr>
        <w:t>7</w:t>
      </w:r>
      <w:r w:rsidR="00030BFE" w:rsidRPr="00577043">
        <w:rPr>
          <w:rFonts w:eastAsia="Times New Roman" w:cs="Times New Roman"/>
          <w:color w:val="000000"/>
          <w:lang w:eastAsia="da-DK"/>
        </w:rPr>
        <w:t xml:space="preserve">, stk. 1 og </w:t>
      </w:r>
      <w:r w:rsidR="00173F41" w:rsidRPr="00577043">
        <w:rPr>
          <w:rFonts w:eastAsia="Times New Roman" w:cs="Times New Roman"/>
          <w:color w:val="000000"/>
          <w:lang w:eastAsia="da-DK"/>
        </w:rPr>
        <w:t>2, eller 1</w:t>
      </w:r>
      <w:r w:rsidR="00D6210D">
        <w:rPr>
          <w:rFonts w:eastAsia="Times New Roman" w:cs="Times New Roman"/>
          <w:color w:val="000000"/>
          <w:lang w:eastAsia="da-DK"/>
        </w:rPr>
        <w:t>8</w:t>
      </w:r>
      <w:r w:rsidR="00173F41" w:rsidRPr="00577043">
        <w:rPr>
          <w:rFonts w:eastAsia="Times New Roman" w:cs="Times New Roman"/>
          <w:color w:val="000000"/>
          <w:lang w:eastAsia="da-DK"/>
        </w:rPr>
        <w:t>, stk. 2, i denne lov eller</w:t>
      </w:r>
    </w:p>
    <w:p w14:paraId="34B8B116" w14:textId="77777777" w:rsidR="00173F41" w:rsidRPr="00577043" w:rsidRDefault="00514548" w:rsidP="00173F41">
      <w:pPr>
        <w:rPr>
          <w:rFonts w:eastAsia="Times New Roman" w:cs="Times New Roman"/>
          <w:color w:val="000000"/>
          <w:lang w:eastAsia="da-DK"/>
        </w:rPr>
      </w:pPr>
      <w:r>
        <w:rPr>
          <w:rFonts w:eastAsia="Times New Roman" w:cs="Times New Roman"/>
          <w:color w:val="000000"/>
          <w:lang w:eastAsia="da-DK"/>
        </w:rPr>
        <w:t>8</w:t>
      </w:r>
      <w:r w:rsidR="00173F41" w:rsidRPr="00577043">
        <w:rPr>
          <w:rFonts w:eastAsia="Times New Roman" w:cs="Times New Roman"/>
          <w:color w:val="000000"/>
          <w:lang w:eastAsia="da-DK"/>
        </w:rPr>
        <w:t>) nægter repræsentanter for tilsynsmyndigheden a</w:t>
      </w:r>
      <w:r w:rsidR="00030BFE" w:rsidRPr="00577043">
        <w:rPr>
          <w:rFonts w:eastAsia="Times New Roman" w:cs="Times New Roman"/>
          <w:color w:val="000000"/>
          <w:lang w:eastAsia="da-DK"/>
        </w:rPr>
        <w:t>dgang i medfør af §</w:t>
      </w:r>
      <w:r w:rsidR="00F32E02">
        <w:rPr>
          <w:rFonts w:eastAsia="Times New Roman" w:cs="Times New Roman"/>
          <w:color w:val="000000"/>
          <w:lang w:eastAsia="da-DK"/>
        </w:rPr>
        <w:t xml:space="preserve"> </w:t>
      </w:r>
      <w:r w:rsidR="00D6210D">
        <w:rPr>
          <w:rFonts w:eastAsia="Times New Roman" w:cs="Times New Roman"/>
          <w:color w:val="000000"/>
          <w:lang w:eastAsia="da-DK"/>
        </w:rPr>
        <w:t>18</w:t>
      </w:r>
      <w:r w:rsidR="00173F41" w:rsidRPr="00577043">
        <w:rPr>
          <w:rFonts w:eastAsia="Times New Roman" w:cs="Times New Roman"/>
          <w:color w:val="000000"/>
          <w:lang w:eastAsia="da-DK"/>
        </w:rPr>
        <w:t>, stk.1</w:t>
      </w:r>
      <w:r w:rsidR="003710EF">
        <w:rPr>
          <w:rFonts w:eastAsia="Times New Roman" w:cs="Times New Roman"/>
          <w:color w:val="000000"/>
          <w:lang w:eastAsia="da-DK"/>
        </w:rPr>
        <w:t>,</w:t>
      </w:r>
      <w:r w:rsidR="00173F41" w:rsidRPr="00577043">
        <w:rPr>
          <w:rFonts w:eastAsia="Times New Roman" w:cs="Times New Roman"/>
          <w:color w:val="000000"/>
          <w:lang w:eastAsia="da-DK"/>
        </w:rPr>
        <w:t xml:space="preserve"> </w:t>
      </w:r>
    </w:p>
    <w:p w14:paraId="2C6E736F" w14:textId="77777777" w:rsidR="00000644" w:rsidRDefault="00514548" w:rsidP="00D62808">
      <w:pPr>
        <w:rPr>
          <w:rFonts w:eastAsia="Times New Roman" w:cs="Times New Roman"/>
          <w:color w:val="000000"/>
          <w:lang w:eastAsia="da-DK"/>
        </w:rPr>
      </w:pPr>
      <w:r>
        <w:rPr>
          <w:rFonts w:eastAsia="Times New Roman" w:cs="Times New Roman"/>
          <w:color w:val="000000"/>
          <w:lang w:eastAsia="da-DK"/>
        </w:rPr>
        <w:t>9</w:t>
      </w:r>
      <w:r w:rsidR="00173F41" w:rsidRPr="00577043">
        <w:rPr>
          <w:rFonts w:eastAsia="Times New Roman" w:cs="Times New Roman"/>
          <w:color w:val="000000"/>
          <w:lang w:eastAsia="da-DK"/>
        </w:rPr>
        <w:t xml:space="preserve">) undlader at efterkomme et påbud i medfør af § </w:t>
      </w:r>
      <w:r w:rsidR="0016270D">
        <w:rPr>
          <w:rFonts w:eastAsia="Times New Roman" w:cs="Times New Roman"/>
          <w:color w:val="000000"/>
          <w:lang w:eastAsia="da-DK"/>
        </w:rPr>
        <w:t>§ 34</w:t>
      </w:r>
      <w:r w:rsidR="00F94D0B">
        <w:rPr>
          <w:rFonts w:eastAsia="Times New Roman" w:cs="Times New Roman"/>
          <w:color w:val="000000"/>
          <w:lang w:eastAsia="da-DK"/>
        </w:rPr>
        <w:t>, stk. 1,</w:t>
      </w:r>
      <w:r w:rsidR="00173F41" w:rsidRPr="00577043">
        <w:rPr>
          <w:rFonts w:eastAsia="Times New Roman" w:cs="Times New Roman"/>
          <w:color w:val="000000"/>
          <w:lang w:eastAsia="da-DK"/>
        </w:rPr>
        <w:t xml:space="preserve"> i denne lov</w:t>
      </w:r>
      <w:r w:rsidR="003710EF">
        <w:rPr>
          <w:rFonts w:eastAsia="Times New Roman" w:cs="Times New Roman"/>
          <w:color w:val="000000"/>
          <w:lang w:eastAsia="da-DK"/>
        </w:rPr>
        <w:t>,</w:t>
      </w:r>
    </w:p>
    <w:p w14:paraId="244F2605" w14:textId="77777777" w:rsidR="00D62808" w:rsidRPr="00577043" w:rsidRDefault="00000644" w:rsidP="00D62808">
      <w:pPr>
        <w:rPr>
          <w:rFonts w:eastAsia="Times New Roman" w:cs="Times New Roman"/>
          <w:color w:val="000000"/>
          <w:lang w:eastAsia="da-DK"/>
        </w:rPr>
      </w:pPr>
      <w:r>
        <w:rPr>
          <w:rFonts w:eastAsia="Times New Roman" w:cs="Times New Roman"/>
          <w:color w:val="000000"/>
          <w:lang w:eastAsia="da-DK"/>
        </w:rPr>
        <w:t xml:space="preserve">10) </w:t>
      </w:r>
      <w:r w:rsidRPr="00577043">
        <w:rPr>
          <w:rFonts w:eastAsia="Times New Roman" w:cs="Times New Roman"/>
          <w:color w:val="000000"/>
          <w:lang w:eastAsia="da-DK"/>
        </w:rPr>
        <w:t xml:space="preserve">iværksætter et klinisk forsøg med lægemidler i strid med </w:t>
      </w:r>
      <w:r>
        <w:rPr>
          <w:rFonts w:eastAsia="Times New Roman" w:cs="Times New Roman"/>
          <w:color w:val="000000"/>
          <w:lang w:eastAsia="da-DK"/>
        </w:rPr>
        <w:t xml:space="preserve">§ </w:t>
      </w:r>
      <w:r w:rsidR="00434C22">
        <w:rPr>
          <w:rFonts w:eastAsia="Times New Roman" w:cs="Times New Roman"/>
          <w:color w:val="000000"/>
          <w:lang w:eastAsia="da-DK"/>
        </w:rPr>
        <w:t>22</w:t>
      </w:r>
      <w:r>
        <w:rPr>
          <w:rFonts w:eastAsia="Times New Roman" w:cs="Times New Roman"/>
          <w:color w:val="000000"/>
          <w:lang w:eastAsia="da-DK"/>
        </w:rPr>
        <w:t xml:space="preserve"> i denne lov</w:t>
      </w:r>
      <w:r w:rsidR="003710EF">
        <w:rPr>
          <w:rFonts w:eastAsia="Times New Roman" w:cs="Times New Roman"/>
          <w:color w:val="000000"/>
          <w:lang w:eastAsia="da-DK"/>
        </w:rPr>
        <w:t>.</w:t>
      </w:r>
    </w:p>
    <w:p w14:paraId="0B72463E" w14:textId="77777777" w:rsidR="00431056" w:rsidRPr="00577043" w:rsidRDefault="00431056" w:rsidP="00D62808">
      <w:pPr>
        <w:rPr>
          <w:rFonts w:eastAsia="Times New Roman" w:cs="Times New Roman"/>
          <w:color w:val="000000"/>
          <w:lang w:eastAsia="da-DK"/>
        </w:rPr>
      </w:pPr>
    </w:p>
    <w:p w14:paraId="39FD6362" w14:textId="77777777" w:rsidR="00D62808" w:rsidRPr="00577043" w:rsidRDefault="00D62808" w:rsidP="0016270D">
      <w:pPr>
        <w:rPr>
          <w:rFonts w:eastAsia="Times New Roman" w:cs="Times New Roman"/>
          <w:color w:val="000000"/>
          <w:lang w:eastAsia="da-DK"/>
        </w:rPr>
      </w:pPr>
      <w:r w:rsidRPr="00577043">
        <w:rPr>
          <w:rFonts w:eastAsia="Times New Roman" w:cs="Times New Roman"/>
          <w:color w:val="000000"/>
          <w:lang w:eastAsia="da-DK"/>
        </w:rPr>
        <w:t xml:space="preserve">   </w:t>
      </w:r>
    </w:p>
    <w:p w14:paraId="48DA7C8B" w14:textId="77777777" w:rsidR="008A3181" w:rsidRPr="00577043" w:rsidRDefault="008A3181" w:rsidP="00CB2276">
      <w:pPr>
        <w:rPr>
          <w:rFonts w:eastAsia="Times New Roman" w:cs="Times New Roman"/>
          <w:color w:val="000000"/>
          <w:lang w:eastAsia="da-DK"/>
        </w:rPr>
      </w:pPr>
    </w:p>
    <w:p w14:paraId="00E8C774" w14:textId="77777777" w:rsidR="00184755" w:rsidRPr="00577043" w:rsidRDefault="00184755" w:rsidP="00CB2276">
      <w:pPr>
        <w:jc w:val="center"/>
        <w:rPr>
          <w:rFonts w:eastAsia="Times New Roman" w:cs="Times New Roman"/>
          <w:color w:val="000000"/>
          <w:lang w:eastAsia="da-DK"/>
        </w:rPr>
      </w:pPr>
    </w:p>
    <w:p w14:paraId="7D385047" w14:textId="77777777" w:rsidR="00511D06" w:rsidRPr="00577043" w:rsidRDefault="007A2A83" w:rsidP="00CB2276">
      <w:pPr>
        <w:jc w:val="center"/>
        <w:rPr>
          <w:rFonts w:eastAsia="Times New Roman" w:cs="Times New Roman"/>
          <w:color w:val="000000"/>
          <w:lang w:eastAsia="da-DK"/>
        </w:rPr>
      </w:pPr>
      <w:r w:rsidRPr="00577043">
        <w:rPr>
          <w:rFonts w:eastAsia="Times New Roman" w:cs="Times New Roman"/>
          <w:color w:val="000000"/>
          <w:lang w:eastAsia="da-DK"/>
        </w:rPr>
        <w:t xml:space="preserve">Kapitel </w:t>
      </w:r>
      <w:r w:rsidR="00184755" w:rsidRPr="00577043">
        <w:rPr>
          <w:rFonts w:eastAsia="Times New Roman" w:cs="Times New Roman"/>
          <w:color w:val="000000"/>
          <w:lang w:eastAsia="da-DK"/>
        </w:rPr>
        <w:t>12</w:t>
      </w:r>
    </w:p>
    <w:p w14:paraId="746CBB43" w14:textId="77777777" w:rsidR="00511D06" w:rsidRPr="00577043" w:rsidRDefault="00511D06" w:rsidP="00CB2276">
      <w:pPr>
        <w:jc w:val="center"/>
        <w:rPr>
          <w:rFonts w:eastAsia="Times New Roman" w:cs="Times New Roman"/>
          <w:color w:val="000000"/>
          <w:lang w:eastAsia="da-DK"/>
        </w:rPr>
      </w:pPr>
    </w:p>
    <w:p w14:paraId="0A58EE4E" w14:textId="77777777" w:rsidR="00511D06" w:rsidRPr="00577043" w:rsidRDefault="00511D06" w:rsidP="00CB2276">
      <w:pPr>
        <w:pStyle w:val="Overskrift2"/>
        <w:rPr>
          <w:rFonts w:eastAsia="Times New Roman" w:cs="Times New Roman"/>
          <w:b w:val="0"/>
          <w:i/>
          <w:lang w:eastAsia="da-DK"/>
        </w:rPr>
      </w:pPr>
      <w:r w:rsidRPr="00577043">
        <w:rPr>
          <w:rFonts w:eastAsia="Times New Roman" w:cs="Times New Roman"/>
          <w:b w:val="0"/>
          <w:i/>
          <w:lang w:eastAsia="da-DK"/>
        </w:rPr>
        <w:t>Ikrafttræden, overgangsordning m.v.</w:t>
      </w:r>
    </w:p>
    <w:p w14:paraId="10BAEEA5" w14:textId="77777777" w:rsidR="00511D06" w:rsidRPr="00577043" w:rsidRDefault="00511D06" w:rsidP="00CB2276">
      <w:pPr>
        <w:jc w:val="center"/>
        <w:rPr>
          <w:rFonts w:eastAsia="Times New Roman" w:cs="Times New Roman"/>
          <w:color w:val="000000"/>
          <w:lang w:eastAsia="da-DK"/>
        </w:rPr>
      </w:pPr>
    </w:p>
    <w:p w14:paraId="6E61EE47" w14:textId="77777777" w:rsidR="00511D06" w:rsidRPr="00577043" w:rsidRDefault="00CE0897" w:rsidP="00CB2276">
      <w:pPr>
        <w:rPr>
          <w:rFonts w:eastAsia="Times New Roman" w:cs="Times New Roman"/>
          <w:color w:val="000000"/>
          <w:lang w:eastAsia="da-DK"/>
        </w:rPr>
      </w:pPr>
      <w:r w:rsidRPr="00577043">
        <w:rPr>
          <w:rFonts w:eastAsia="Times New Roman" w:cs="Times New Roman"/>
          <w:b/>
          <w:color w:val="000000"/>
          <w:lang w:eastAsia="da-DK"/>
        </w:rPr>
        <w:t xml:space="preserve">   </w:t>
      </w:r>
      <w:r w:rsidR="00511D06" w:rsidRPr="00577043">
        <w:rPr>
          <w:rFonts w:eastAsia="Times New Roman" w:cs="Times New Roman"/>
          <w:b/>
          <w:color w:val="000000"/>
          <w:lang w:eastAsia="da-DK"/>
        </w:rPr>
        <w:t xml:space="preserve">§ </w:t>
      </w:r>
      <w:r w:rsidR="00F9344C">
        <w:rPr>
          <w:rFonts w:eastAsia="Times New Roman" w:cs="Times New Roman"/>
          <w:b/>
          <w:color w:val="000000"/>
          <w:lang w:eastAsia="da-DK"/>
        </w:rPr>
        <w:t>36</w:t>
      </w:r>
      <w:r w:rsidR="00511D06" w:rsidRPr="00577043">
        <w:rPr>
          <w:rFonts w:eastAsia="Times New Roman" w:cs="Times New Roman"/>
          <w:b/>
          <w:color w:val="000000"/>
          <w:lang w:eastAsia="da-DK"/>
        </w:rPr>
        <w:t xml:space="preserve">. </w:t>
      </w:r>
      <w:r w:rsidR="00A22EAD" w:rsidRPr="00577043">
        <w:rPr>
          <w:rFonts w:eastAsia="Times New Roman" w:cs="Times New Roman"/>
          <w:color w:val="000000"/>
          <w:lang w:eastAsia="da-DK"/>
        </w:rPr>
        <w:t>Sundheds- og ældreministeren</w:t>
      </w:r>
      <w:r w:rsidR="00C91CC5" w:rsidRPr="00577043">
        <w:rPr>
          <w:rFonts w:eastAsia="Times New Roman" w:cs="Times New Roman"/>
          <w:color w:val="000000"/>
          <w:lang w:eastAsia="da-DK"/>
        </w:rPr>
        <w:t xml:space="preserve"> fastsætter tidspunktet for ikrafttræden af loven. </w:t>
      </w:r>
      <w:r w:rsidR="00511D06" w:rsidRPr="00577043">
        <w:rPr>
          <w:rFonts w:eastAsia="Times New Roman" w:cs="Times New Roman"/>
          <w:color w:val="000000"/>
          <w:lang w:eastAsia="da-DK"/>
        </w:rPr>
        <w:t>Loven finder anvendelse for kliniske forsøg med lægemidler, der anmeldes efter lovens ikrafttræden</w:t>
      </w:r>
      <w:r w:rsidR="009F7951" w:rsidRPr="00577043">
        <w:rPr>
          <w:rFonts w:eastAsia="Times New Roman" w:cs="Times New Roman"/>
          <w:color w:val="000000"/>
          <w:lang w:eastAsia="da-DK"/>
        </w:rPr>
        <w:t xml:space="preserve">, jf. dog stk. </w:t>
      </w:r>
      <w:r w:rsidR="00A9241F" w:rsidRPr="00577043">
        <w:rPr>
          <w:rFonts w:eastAsia="Times New Roman" w:cs="Times New Roman"/>
          <w:color w:val="000000"/>
          <w:lang w:eastAsia="da-DK"/>
        </w:rPr>
        <w:t>3</w:t>
      </w:r>
      <w:r w:rsidR="009F7951" w:rsidRPr="00577043">
        <w:rPr>
          <w:rFonts w:eastAsia="Times New Roman" w:cs="Times New Roman"/>
          <w:color w:val="000000"/>
          <w:lang w:eastAsia="da-DK"/>
        </w:rPr>
        <w:t>-</w:t>
      </w:r>
      <w:r w:rsidR="001266FA" w:rsidRPr="00577043">
        <w:rPr>
          <w:rFonts w:eastAsia="Times New Roman" w:cs="Times New Roman"/>
          <w:color w:val="000000"/>
          <w:lang w:eastAsia="da-DK"/>
        </w:rPr>
        <w:t>7</w:t>
      </w:r>
      <w:r w:rsidR="00511D06" w:rsidRPr="00577043">
        <w:rPr>
          <w:rFonts w:eastAsia="Times New Roman" w:cs="Times New Roman"/>
          <w:color w:val="000000"/>
          <w:lang w:eastAsia="da-DK"/>
        </w:rPr>
        <w:t>.</w:t>
      </w:r>
    </w:p>
    <w:p w14:paraId="3DFF1ECB" w14:textId="77777777" w:rsidR="00E465CA" w:rsidRPr="00577043" w:rsidRDefault="00810712" w:rsidP="00E465CA">
      <w:pPr>
        <w:rPr>
          <w:rFonts w:eastAsia="Times New Roman" w:cs="Times New Roman"/>
          <w:color w:val="000000"/>
          <w:lang w:eastAsia="da-DK"/>
        </w:rPr>
      </w:pPr>
      <w:r w:rsidRPr="00577043">
        <w:rPr>
          <w:rFonts w:eastAsia="Times New Roman" w:cs="Times New Roman"/>
          <w:i/>
          <w:iCs/>
          <w:color w:val="000000"/>
          <w:lang w:eastAsia="da-DK"/>
        </w:rPr>
        <w:t xml:space="preserve">   </w:t>
      </w:r>
      <w:r w:rsidR="00A9241F" w:rsidRPr="00577043">
        <w:rPr>
          <w:rFonts w:eastAsia="Times New Roman" w:cs="Times New Roman"/>
          <w:i/>
          <w:color w:val="000000"/>
          <w:lang w:eastAsia="da-DK"/>
        </w:rPr>
        <w:t xml:space="preserve">Stk. </w:t>
      </w:r>
      <w:r w:rsidR="002A27AC" w:rsidRPr="00577043">
        <w:rPr>
          <w:rFonts w:eastAsia="Times New Roman" w:cs="Times New Roman"/>
          <w:i/>
          <w:color w:val="000000"/>
          <w:lang w:eastAsia="da-DK"/>
        </w:rPr>
        <w:t>2.</w:t>
      </w:r>
      <w:r w:rsidR="00511D06" w:rsidRPr="00577043">
        <w:rPr>
          <w:rFonts w:eastAsia="Times New Roman" w:cs="Times New Roman"/>
          <w:color w:val="000000"/>
          <w:lang w:eastAsia="da-DK"/>
        </w:rPr>
        <w:t xml:space="preserve"> </w:t>
      </w:r>
      <w:r w:rsidR="00E465CA" w:rsidRPr="00577043">
        <w:rPr>
          <w:rFonts w:eastAsia="Times New Roman" w:cs="Times New Roman"/>
          <w:color w:val="000000"/>
          <w:lang w:eastAsia="da-DK"/>
        </w:rPr>
        <w:t xml:space="preserve">Samtidig </w:t>
      </w:r>
      <w:r w:rsidR="001266FA" w:rsidRPr="00577043">
        <w:rPr>
          <w:rFonts w:eastAsia="Times New Roman" w:cs="Times New Roman"/>
          <w:color w:val="000000"/>
          <w:lang w:eastAsia="da-DK"/>
        </w:rPr>
        <w:t>med lovens ikrafttræde</w:t>
      </w:r>
      <w:r w:rsidR="00C65CE4" w:rsidRPr="00577043">
        <w:rPr>
          <w:rFonts w:eastAsia="Times New Roman" w:cs="Times New Roman"/>
          <w:color w:val="000000"/>
          <w:lang w:eastAsia="da-DK"/>
        </w:rPr>
        <w:t>n</w:t>
      </w:r>
      <w:r w:rsidR="001266FA" w:rsidRPr="00577043">
        <w:rPr>
          <w:rFonts w:eastAsia="Times New Roman" w:cs="Times New Roman"/>
          <w:color w:val="000000"/>
          <w:lang w:eastAsia="da-DK"/>
        </w:rPr>
        <w:t xml:space="preserve">, jf. stk. 1, </w:t>
      </w:r>
      <w:r w:rsidR="00E465CA" w:rsidRPr="00577043">
        <w:rPr>
          <w:rFonts w:eastAsia="Times New Roman" w:cs="Times New Roman"/>
          <w:color w:val="000000"/>
          <w:lang w:eastAsia="da-DK"/>
        </w:rPr>
        <w:t>ophæves §§ 88 – 92 i lov om lægemidler, jf. lovbekendtgørelse nr. 506 af 20. april 2013, jf. dog stk. 3-</w:t>
      </w:r>
      <w:r w:rsidR="001266FA" w:rsidRPr="00577043">
        <w:rPr>
          <w:rFonts w:eastAsia="Times New Roman" w:cs="Times New Roman"/>
          <w:color w:val="000000"/>
          <w:lang w:eastAsia="da-DK"/>
        </w:rPr>
        <w:t>7</w:t>
      </w:r>
      <w:r w:rsidR="00E465CA" w:rsidRPr="00577043">
        <w:rPr>
          <w:rFonts w:eastAsia="Times New Roman" w:cs="Times New Roman"/>
          <w:color w:val="000000"/>
          <w:lang w:eastAsia="da-DK"/>
        </w:rPr>
        <w:t xml:space="preserve">. </w:t>
      </w:r>
    </w:p>
    <w:p w14:paraId="7F4D151A" w14:textId="77777777" w:rsidR="00DD4E9E" w:rsidRPr="00577043" w:rsidRDefault="00E465CA" w:rsidP="00DD4E9E">
      <w:pPr>
        <w:rPr>
          <w:rFonts w:eastAsia="Times New Roman" w:cs="Times New Roman"/>
          <w:color w:val="000000"/>
          <w:lang w:eastAsia="da-DK"/>
        </w:rPr>
      </w:pPr>
      <w:r w:rsidRPr="00577043">
        <w:rPr>
          <w:rFonts w:eastAsia="Times New Roman" w:cs="Times New Roman"/>
          <w:color w:val="000000"/>
          <w:lang w:eastAsia="da-DK"/>
        </w:rPr>
        <w:t xml:space="preserve">   </w:t>
      </w:r>
      <w:r w:rsidR="00DD4E9E" w:rsidRPr="00577043">
        <w:rPr>
          <w:rFonts w:eastAsia="Times New Roman" w:cs="Times New Roman"/>
          <w:i/>
          <w:color w:val="000000"/>
          <w:lang w:eastAsia="da-DK"/>
        </w:rPr>
        <w:t>Stk. 3.</w:t>
      </w:r>
      <w:r w:rsidR="00DD4E9E" w:rsidRPr="00577043">
        <w:rPr>
          <w:rFonts w:eastAsia="Times New Roman" w:cs="Times New Roman"/>
          <w:color w:val="000000"/>
          <w:lang w:eastAsia="da-DK"/>
        </w:rPr>
        <w:t xml:space="preserve"> En ansøgning kan i perioden fra lovens ikrafttræden til </w:t>
      </w:r>
      <w:r w:rsidR="00003DC5">
        <w:rPr>
          <w:rFonts w:eastAsia="Times New Roman" w:cs="Times New Roman"/>
          <w:color w:val="000000"/>
          <w:lang w:eastAsia="da-DK"/>
        </w:rPr>
        <w:t>1</w:t>
      </w:r>
      <w:r w:rsidR="00DD4E9E" w:rsidRPr="00577043">
        <w:rPr>
          <w:rFonts w:eastAsia="Times New Roman" w:cs="Times New Roman"/>
          <w:color w:val="000000"/>
          <w:lang w:eastAsia="da-DK"/>
        </w:rPr>
        <w:t xml:space="preserve"> år efter lovens ikrafttræden anmeldes og påbegyndes i medfør af lov om lægemidler, jf. lovbekendtgørelse nr. 506 af 20. april 2013 og lov nr. 593 af 14. juni 2011om videnskabsetisk behandling af sundhedsvidenskabelige forskningsprojekter, jf. art</w:t>
      </w:r>
      <w:r w:rsidR="00522513">
        <w:rPr>
          <w:rFonts w:eastAsia="Times New Roman" w:cs="Times New Roman"/>
          <w:color w:val="000000"/>
          <w:lang w:eastAsia="da-DK"/>
        </w:rPr>
        <w:t>ikel</w:t>
      </w:r>
      <w:r w:rsidR="00DD4E9E" w:rsidRPr="00577043">
        <w:rPr>
          <w:rFonts w:eastAsia="Times New Roman" w:cs="Times New Roman"/>
          <w:color w:val="000000"/>
          <w:lang w:eastAsia="da-DK"/>
        </w:rPr>
        <w:t xml:space="preserve"> 98 i </w:t>
      </w:r>
      <w:r w:rsidR="00294601">
        <w:rPr>
          <w:rFonts w:eastAsia="Times New Roman" w:cs="Times New Roman"/>
          <w:color w:val="000000"/>
          <w:lang w:eastAsia="da-DK"/>
        </w:rPr>
        <w:t>forordningen</w:t>
      </w:r>
      <w:r w:rsidR="00DD4E9E" w:rsidRPr="00577043">
        <w:rPr>
          <w:rFonts w:eastAsia="Times New Roman" w:cs="Times New Roman"/>
          <w:color w:val="000000"/>
          <w:lang w:eastAsia="da-DK"/>
        </w:rPr>
        <w:t xml:space="preserve">. </w:t>
      </w:r>
    </w:p>
    <w:p w14:paraId="4B2F91F6" w14:textId="77777777" w:rsidR="00003DC5" w:rsidRDefault="00003DC5" w:rsidP="00CB2276">
      <w:pPr>
        <w:rPr>
          <w:rFonts w:eastAsia="Times New Roman" w:cs="Times New Roman"/>
          <w:color w:val="000000"/>
          <w:lang w:eastAsia="da-DK"/>
        </w:rPr>
      </w:pPr>
      <w:r>
        <w:rPr>
          <w:rFonts w:eastAsia="Times New Roman" w:cs="Times New Roman"/>
          <w:i/>
          <w:color w:val="000000"/>
          <w:lang w:eastAsia="da-DK"/>
        </w:rPr>
        <w:t xml:space="preserve">   Stk. </w:t>
      </w:r>
      <w:r w:rsidR="00F9344C">
        <w:rPr>
          <w:rFonts w:eastAsia="Times New Roman" w:cs="Times New Roman"/>
          <w:i/>
          <w:color w:val="000000"/>
          <w:lang w:eastAsia="da-DK"/>
        </w:rPr>
        <w:t>4</w:t>
      </w:r>
      <w:r w:rsidRPr="00003DC5">
        <w:rPr>
          <w:rFonts w:eastAsia="Times New Roman" w:cs="Times New Roman"/>
          <w:i/>
          <w:color w:val="000000"/>
          <w:lang w:eastAsia="da-DK"/>
        </w:rPr>
        <w:t>.</w:t>
      </w:r>
      <w:r w:rsidRPr="00577043">
        <w:rPr>
          <w:rFonts w:eastAsia="Times New Roman" w:cs="Times New Roman"/>
          <w:color w:val="000000"/>
          <w:lang w:eastAsia="da-DK"/>
        </w:rPr>
        <w:t xml:space="preserve"> En ansøgning</w:t>
      </w:r>
      <w:r w:rsidR="003710EF">
        <w:rPr>
          <w:rFonts w:eastAsia="Times New Roman" w:cs="Times New Roman"/>
          <w:color w:val="000000"/>
          <w:lang w:eastAsia="da-DK"/>
        </w:rPr>
        <w:t>,</w:t>
      </w:r>
      <w:r w:rsidRPr="00577043">
        <w:rPr>
          <w:rFonts w:eastAsia="Times New Roman" w:cs="Times New Roman"/>
          <w:color w:val="000000"/>
          <w:lang w:eastAsia="da-DK"/>
        </w:rPr>
        <w:t xml:space="preserve"> </w:t>
      </w:r>
      <w:r w:rsidR="00447983">
        <w:rPr>
          <w:rFonts w:eastAsia="Times New Roman" w:cs="Times New Roman"/>
          <w:color w:val="000000"/>
          <w:lang w:eastAsia="da-DK"/>
        </w:rPr>
        <w:t>som er</w:t>
      </w:r>
      <w:r w:rsidRPr="00577043">
        <w:rPr>
          <w:rFonts w:eastAsia="Times New Roman" w:cs="Times New Roman"/>
          <w:color w:val="000000"/>
          <w:lang w:eastAsia="da-DK"/>
        </w:rPr>
        <w:t xml:space="preserve"> anmeld</w:t>
      </w:r>
      <w:r w:rsidR="00447983">
        <w:rPr>
          <w:rFonts w:eastAsia="Times New Roman" w:cs="Times New Roman"/>
          <w:color w:val="000000"/>
          <w:lang w:eastAsia="da-DK"/>
        </w:rPr>
        <w:t>t</w:t>
      </w:r>
      <w:r w:rsidRPr="00577043">
        <w:rPr>
          <w:rFonts w:eastAsia="Times New Roman" w:cs="Times New Roman"/>
          <w:color w:val="000000"/>
          <w:lang w:eastAsia="da-DK"/>
        </w:rPr>
        <w:t xml:space="preserve"> og påbegynd</w:t>
      </w:r>
      <w:r w:rsidR="00447983">
        <w:rPr>
          <w:rFonts w:eastAsia="Times New Roman" w:cs="Times New Roman"/>
          <w:color w:val="000000"/>
          <w:lang w:eastAsia="da-DK"/>
        </w:rPr>
        <w:t>t</w:t>
      </w:r>
      <w:r w:rsidRPr="00577043">
        <w:rPr>
          <w:rFonts w:eastAsia="Times New Roman" w:cs="Times New Roman"/>
          <w:color w:val="000000"/>
          <w:lang w:eastAsia="da-DK"/>
        </w:rPr>
        <w:t xml:space="preserve"> i medfør af lov om lægemidler, jf. lovbekendtgørelse nr. 506 af 20. april 2013 og lov nr. 593 af 14. juni 2011om videnskabsetisk behandling af sundhedsvidenskabelige forskningsprojekter, jf. art</w:t>
      </w:r>
      <w:r w:rsidR="00522513">
        <w:rPr>
          <w:rFonts w:eastAsia="Times New Roman" w:cs="Times New Roman"/>
          <w:color w:val="000000"/>
          <w:lang w:eastAsia="da-DK"/>
        </w:rPr>
        <w:t>ikel</w:t>
      </w:r>
      <w:r w:rsidRPr="00577043">
        <w:rPr>
          <w:rFonts w:eastAsia="Times New Roman" w:cs="Times New Roman"/>
          <w:color w:val="000000"/>
          <w:lang w:eastAsia="da-DK"/>
        </w:rPr>
        <w:t xml:space="preserve"> 98 i </w:t>
      </w:r>
      <w:r w:rsidR="00294601">
        <w:rPr>
          <w:rFonts w:eastAsia="Times New Roman" w:cs="Times New Roman"/>
          <w:color w:val="000000"/>
          <w:lang w:eastAsia="da-DK"/>
        </w:rPr>
        <w:t>forordningen</w:t>
      </w:r>
      <w:r w:rsidR="00447983">
        <w:rPr>
          <w:rFonts w:eastAsia="Times New Roman" w:cs="Times New Roman"/>
          <w:color w:val="000000"/>
          <w:lang w:eastAsia="da-DK"/>
        </w:rPr>
        <w:t>, er fortsat omfattet af disse indtil 3 år efter datoen fastsat efter stk. 1.</w:t>
      </w:r>
      <w:r w:rsidRPr="00577043">
        <w:rPr>
          <w:rFonts w:eastAsia="Times New Roman" w:cs="Times New Roman"/>
          <w:color w:val="000000"/>
          <w:lang w:eastAsia="da-DK"/>
        </w:rPr>
        <w:t xml:space="preserve"> </w:t>
      </w:r>
    </w:p>
    <w:p w14:paraId="7AFF6C98" w14:textId="77777777" w:rsidR="00511D06" w:rsidRPr="00577043" w:rsidRDefault="00003DC5" w:rsidP="00CB2276">
      <w:pPr>
        <w:rPr>
          <w:rFonts w:eastAsia="Times New Roman" w:cs="Times New Roman"/>
          <w:color w:val="000000"/>
          <w:lang w:eastAsia="da-DK"/>
        </w:rPr>
      </w:pPr>
      <w:r>
        <w:rPr>
          <w:rFonts w:eastAsia="Times New Roman" w:cs="Times New Roman"/>
          <w:color w:val="000000"/>
          <w:lang w:eastAsia="da-DK"/>
        </w:rPr>
        <w:t xml:space="preserve">   </w:t>
      </w:r>
      <w:r w:rsidR="00A253F3">
        <w:rPr>
          <w:rFonts w:eastAsia="Times New Roman" w:cs="Times New Roman"/>
          <w:i/>
          <w:color w:val="000000"/>
          <w:lang w:eastAsia="da-DK"/>
        </w:rPr>
        <w:t xml:space="preserve">Stk. </w:t>
      </w:r>
      <w:r w:rsidR="00F9344C">
        <w:rPr>
          <w:rFonts w:eastAsia="Times New Roman" w:cs="Times New Roman"/>
          <w:i/>
          <w:color w:val="000000"/>
          <w:lang w:eastAsia="da-DK"/>
        </w:rPr>
        <w:t>5</w:t>
      </w:r>
      <w:r w:rsidR="00E465CA" w:rsidRPr="00577043">
        <w:rPr>
          <w:rFonts w:eastAsia="Times New Roman" w:cs="Times New Roman"/>
          <w:i/>
          <w:color w:val="000000"/>
          <w:lang w:eastAsia="da-DK"/>
        </w:rPr>
        <w:t xml:space="preserve">. </w:t>
      </w:r>
      <w:r w:rsidR="0050275D" w:rsidRPr="00577043">
        <w:rPr>
          <w:rFonts w:eastAsia="Times New Roman" w:cs="Times New Roman"/>
          <w:color w:val="000000"/>
          <w:lang w:eastAsia="da-DK"/>
        </w:rPr>
        <w:t>§§ 88 – 92 i lov om lægemidler, jf. lovbekendtgørelse nr. 506 af 20. april 2013</w:t>
      </w:r>
      <w:r w:rsidR="00511D06" w:rsidRPr="00577043">
        <w:rPr>
          <w:rFonts w:eastAsia="Times New Roman" w:cs="Times New Roman"/>
          <w:color w:val="000000"/>
          <w:lang w:eastAsia="da-DK"/>
        </w:rPr>
        <w:t xml:space="preserve"> </w:t>
      </w:r>
      <w:r w:rsidR="0050275D" w:rsidRPr="00577043">
        <w:rPr>
          <w:rFonts w:eastAsia="Times New Roman" w:cs="Times New Roman"/>
          <w:color w:val="000000"/>
          <w:lang w:eastAsia="da-DK"/>
        </w:rPr>
        <w:t xml:space="preserve">og §§ </w:t>
      </w:r>
      <w:r w:rsidR="0003630A" w:rsidRPr="00577043">
        <w:rPr>
          <w:rFonts w:eastAsia="Times New Roman" w:cs="Times New Roman"/>
          <w:color w:val="000000"/>
          <w:lang w:eastAsia="da-DK"/>
        </w:rPr>
        <w:t>1</w:t>
      </w:r>
      <w:r w:rsidR="003251F7" w:rsidRPr="00577043">
        <w:rPr>
          <w:rFonts w:eastAsia="Times New Roman" w:cs="Times New Roman"/>
          <w:color w:val="000000"/>
          <w:lang w:eastAsia="da-DK"/>
        </w:rPr>
        <w:t>-</w:t>
      </w:r>
      <w:r w:rsidR="0003630A" w:rsidRPr="00577043">
        <w:rPr>
          <w:rFonts w:eastAsia="Times New Roman" w:cs="Times New Roman"/>
          <w:color w:val="000000"/>
          <w:lang w:eastAsia="da-DK"/>
        </w:rPr>
        <w:t>7</w:t>
      </w:r>
      <w:r w:rsidR="003251F7" w:rsidRPr="00577043">
        <w:rPr>
          <w:rFonts w:eastAsia="Times New Roman" w:cs="Times New Roman"/>
          <w:color w:val="000000"/>
          <w:lang w:eastAsia="da-DK"/>
        </w:rPr>
        <w:t>, §</w:t>
      </w:r>
      <w:r w:rsidR="0003630A" w:rsidRPr="00577043">
        <w:rPr>
          <w:rFonts w:eastAsia="Times New Roman" w:cs="Times New Roman"/>
          <w:color w:val="000000"/>
          <w:lang w:eastAsia="da-DK"/>
        </w:rPr>
        <w:t xml:space="preserve"> 9,</w:t>
      </w:r>
      <w:r w:rsidR="00043BC8" w:rsidRPr="00577043">
        <w:rPr>
          <w:rFonts w:eastAsia="Times New Roman" w:cs="Times New Roman"/>
          <w:color w:val="000000"/>
          <w:lang w:eastAsia="da-DK"/>
        </w:rPr>
        <w:t xml:space="preserve"> § </w:t>
      </w:r>
      <w:r w:rsidR="003251F7" w:rsidRPr="00577043">
        <w:rPr>
          <w:rFonts w:eastAsia="Times New Roman" w:cs="Times New Roman"/>
          <w:color w:val="000000"/>
          <w:lang w:eastAsia="da-DK"/>
        </w:rPr>
        <w:t>13, § 14, stk. 1, §§ 16-23</w:t>
      </w:r>
      <w:r w:rsidR="008E369A" w:rsidRPr="00577043">
        <w:rPr>
          <w:rFonts w:eastAsia="Times New Roman" w:cs="Times New Roman"/>
          <w:color w:val="000000"/>
          <w:lang w:eastAsia="da-DK"/>
        </w:rPr>
        <w:t xml:space="preserve">, </w:t>
      </w:r>
      <w:r w:rsidR="005760CA" w:rsidRPr="00577043">
        <w:rPr>
          <w:rFonts w:eastAsia="Times New Roman" w:cs="Times New Roman"/>
          <w:color w:val="000000"/>
          <w:lang w:eastAsia="da-DK"/>
        </w:rPr>
        <w:t>§</w:t>
      </w:r>
      <w:r w:rsidR="008E369A" w:rsidRPr="00577043">
        <w:rPr>
          <w:rFonts w:eastAsia="Times New Roman" w:cs="Times New Roman"/>
          <w:color w:val="000000"/>
          <w:lang w:eastAsia="da-DK"/>
        </w:rPr>
        <w:t xml:space="preserve">§ </w:t>
      </w:r>
      <w:r w:rsidR="00043BC8" w:rsidRPr="00577043">
        <w:rPr>
          <w:rFonts w:eastAsia="Times New Roman" w:cs="Times New Roman"/>
          <w:color w:val="000000"/>
          <w:lang w:eastAsia="da-DK"/>
        </w:rPr>
        <w:t>25-</w:t>
      </w:r>
      <w:r w:rsidR="00562E84" w:rsidRPr="00577043">
        <w:rPr>
          <w:rFonts w:eastAsia="Times New Roman" w:cs="Times New Roman"/>
          <w:color w:val="000000"/>
          <w:lang w:eastAsia="da-DK"/>
        </w:rPr>
        <w:t>34</w:t>
      </w:r>
      <w:r w:rsidR="008E369A" w:rsidRPr="00577043">
        <w:rPr>
          <w:rFonts w:eastAsia="Times New Roman" w:cs="Times New Roman"/>
          <w:color w:val="000000"/>
          <w:lang w:eastAsia="da-DK"/>
        </w:rPr>
        <w:t>, § 41-42</w:t>
      </w:r>
      <w:r w:rsidR="003251F7" w:rsidRPr="00577043">
        <w:rPr>
          <w:rFonts w:eastAsia="Times New Roman" w:cs="Times New Roman"/>
          <w:color w:val="000000"/>
          <w:lang w:eastAsia="da-DK"/>
        </w:rPr>
        <w:t xml:space="preserve"> i lov nr. 593 af 14. juni 2011om videnskabsetisk behandling af sundhedsvidenskabelige forskningsprojekter </w:t>
      </w:r>
      <w:r w:rsidR="00511D06" w:rsidRPr="00577043">
        <w:rPr>
          <w:rFonts w:eastAsia="Times New Roman" w:cs="Times New Roman"/>
          <w:color w:val="000000"/>
          <w:lang w:eastAsia="da-DK"/>
        </w:rPr>
        <w:t>finder fortsat anvendelse for kliniske forsøg med lægemidler, der er anmeldt før lovens ikrafttræden</w:t>
      </w:r>
      <w:r w:rsidR="00486258" w:rsidRPr="00577043">
        <w:rPr>
          <w:rFonts w:eastAsia="Times New Roman" w:cs="Times New Roman"/>
          <w:color w:val="000000"/>
          <w:lang w:eastAsia="da-DK"/>
        </w:rPr>
        <w:t>,</w:t>
      </w:r>
      <w:r w:rsidR="008E369A" w:rsidRPr="00577043">
        <w:rPr>
          <w:rFonts w:eastAsia="Times New Roman" w:cs="Times New Roman"/>
          <w:color w:val="000000"/>
          <w:lang w:eastAsia="da-DK"/>
        </w:rPr>
        <w:t xml:space="preserve"> </w:t>
      </w:r>
      <w:r w:rsidR="00486258" w:rsidRPr="00577043">
        <w:rPr>
          <w:rFonts w:eastAsia="Times New Roman" w:cs="Times New Roman"/>
          <w:color w:val="000000"/>
          <w:lang w:eastAsia="da-DK"/>
        </w:rPr>
        <w:t xml:space="preserve">eller som sponsor har anmeldt efter disse regler, </w:t>
      </w:r>
      <w:r w:rsidR="00DD4E9E" w:rsidRPr="00577043">
        <w:rPr>
          <w:rFonts w:eastAsia="Times New Roman" w:cs="Times New Roman"/>
          <w:color w:val="000000"/>
          <w:lang w:eastAsia="da-DK"/>
        </w:rPr>
        <w:t xml:space="preserve">jf. stk. 2, </w:t>
      </w:r>
      <w:r w:rsidR="008E369A" w:rsidRPr="00577043">
        <w:rPr>
          <w:rFonts w:eastAsia="Times New Roman" w:cs="Times New Roman"/>
          <w:color w:val="000000"/>
          <w:lang w:eastAsia="da-DK"/>
        </w:rPr>
        <w:t>indtil 3 år efter lovens ikrafttræden</w:t>
      </w:r>
      <w:r w:rsidR="00511D06" w:rsidRPr="00577043">
        <w:rPr>
          <w:rFonts w:eastAsia="Times New Roman" w:cs="Times New Roman"/>
          <w:color w:val="000000"/>
          <w:lang w:eastAsia="da-DK"/>
        </w:rPr>
        <w:t>.</w:t>
      </w:r>
      <w:r w:rsidR="008E369A" w:rsidRPr="00577043">
        <w:rPr>
          <w:rFonts w:eastAsia="Times New Roman" w:cs="Times New Roman"/>
          <w:color w:val="000000"/>
          <w:lang w:eastAsia="da-DK"/>
        </w:rPr>
        <w:t xml:space="preserve"> </w:t>
      </w:r>
    </w:p>
    <w:p w14:paraId="33F60871" w14:textId="77777777" w:rsidR="002A27AC" w:rsidRPr="00577043" w:rsidRDefault="00A253F3" w:rsidP="00CB2276">
      <w:pPr>
        <w:rPr>
          <w:rFonts w:eastAsia="Times New Roman" w:cs="Times New Roman"/>
          <w:color w:val="000000"/>
          <w:lang w:eastAsia="da-DK"/>
        </w:rPr>
      </w:pPr>
      <w:r>
        <w:rPr>
          <w:rFonts w:eastAsia="Times New Roman" w:cs="Times New Roman"/>
          <w:i/>
          <w:color w:val="000000"/>
          <w:lang w:eastAsia="da-DK"/>
        </w:rPr>
        <w:lastRenderedPageBreak/>
        <w:t xml:space="preserve">   Stk. </w:t>
      </w:r>
      <w:r w:rsidR="00F9344C">
        <w:rPr>
          <w:rFonts w:eastAsia="Times New Roman" w:cs="Times New Roman"/>
          <w:i/>
          <w:color w:val="000000"/>
          <w:lang w:eastAsia="da-DK"/>
        </w:rPr>
        <w:t>6</w:t>
      </w:r>
      <w:r w:rsidR="002815DC" w:rsidRPr="00577043">
        <w:rPr>
          <w:rFonts w:eastAsia="Times New Roman" w:cs="Times New Roman"/>
          <w:i/>
          <w:color w:val="000000"/>
          <w:lang w:eastAsia="da-DK"/>
        </w:rPr>
        <w:t xml:space="preserve">. </w:t>
      </w:r>
      <w:r w:rsidR="002815DC" w:rsidRPr="00577043">
        <w:rPr>
          <w:rFonts w:eastAsia="Times New Roman" w:cs="Times New Roman"/>
          <w:color w:val="000000"/>
          <w:lang w:eastAsia="da-DK"/>
        </w:rPr>
        <w:t xml:space="preserve">§ </w:t>
      </w:r>
      <w:r w:rsidR="007C42E6">
        <w:rPr>
          <w:rFonts w:eastAsia="Times New Roman" w:cs="Times New Roman"/>
          <w:color w:val="000000"/>
          <w:lang w:eastAsia="da-DK"/>
        </w:rPr>
        <w:t>37</w:t>
      </w:r>
      <w:r w:rsidR="002815DC" w:rsidRPr="00577043">
        <w:rPr>
          <w:rFonts w:eastAsia="Times New Roman" w:cs="Times New Roman"/>
          <w:color w:val="000000"/>
          <w:lang w:eastAsia="da-DK"/>
        </w:rPr>
        <w:t xml:space="preserve">, </w:t>
      </w:r>
      <w:r w:rsidR="00143E34" w:rsidRPr="00577043">
        <w:rPr>
          <w:rFonts w:eastAsia="Times New Roman" w:cs="Times New Roman"/>
          <w:color w:val="000000"/>
          <w:lang w:eastAsia="da-DK"/>
        </w:rPr>
        <w:t xml:space="preserve">stk. 1, </w:t>
      </w:r>
      <w:r w:rsidR="002815DC" w:rsidRPr="00577043">
        <w:rPr>
          <w:rFonts w:eastAsia="Times New Roman" w:cs="Times New Roman"/>
          <w:color w:val="000000"/>
          <w:lang w:eastAsia="da-DK"/>
        </w:rPr>
        <w:t>nr. 5-</w:t>
      </w:r>
      <w:r w:rsidR="002359C3">
        <w:rPr>
          <w:rFonts w:eastAsia="Times New Roman" w:cs="Times New Roman"/>
          <w:color w:val="000000"/>
          <w:lang w:eastAsia="da-DK"/>
        </w:rPr>
        <w:t xml:space="preserve">8 </w:t>
      </w:r>
      <w:r w:rsidR="00143E34" w:rsidRPr="00577043">
        <w:rPr>
          <w:rFonts w:eastAsia="Times New Roman" w:cs="Times New Roman"/>
          <w:color w:val="000000"/>
          <w:lang w:eastAsia="da-DK"/>
        </w:rPr>
        <w:t xml:space="preserve">, </w:t>
      </w:r>
      <w:r w:rsidR="00A95E48">
        <w:rPr>
          <w:rFonts w:eastAsia="Times New Roman" w:cs="Times New Roman"/>
          <w:color w:val="000000"/>
          <w:lang w:eastAsia="da-DK"/>
        </w:rPr>
        <w:t xml:space="preserve">nr. 12-14, </w:t>
      </w:r>
      <w:r w:rsidR="00143E34" w:rsidRPr="00577043">
        <w:rPr>
          <w:rFonts w:eastAsia="Times New Roman" w:cs="Times New Roman"/>
          <w:color w:val="000000"/>
          <w:lang w:eastAsia="da-DK"/>
        </w:rPr>
        <w:t xml:space="preserve">nr. </w:t>
      </w:r>
      <w:r w:rsidR="00C16283" w:rsidRPr="00577043">
        <w:rPr>
          <w:rFonts w:eastAsia="Times New Roman" w:cs="Times New Roman"/>
          <w:color w:val="000000"/>
          <w:lang w:eastAsia="da-DK"/>
        </w:rPr>
        <w:t>22-</w:t>
      </w:r>
      <w:r w:rsidR="00143E34" w:rsidRPr="00577043">
        <w:rPr>
          <w:rFonts w:eastAsia="Times New Roman" w:cs="Times New Roman"/>
          <w:color w:val="000000"/>
          <w:lang w:eastAsia="da-DK"/>
        </w:rPr>
        <w:t xml:space="preserve">25 og nr. </w:t>
      </w:r>
      <w:r w:rsidR="00C16283" w:rsidRPr="00577043">
        <w:rPr>
          <w:rFonts w:eastAsia="Times New Roman" w:cs="Times New Roman"/>
          <w:color w:val="000000"/>
          <w:lang w:eastAsia="da-DK"/>
        </w:rPr>
        <w:t>27</w:t>
      </w:r>
      <w:r w:rsidR="003710EF">
        <w:rPr>
          <w:rFonts w:eastAsia="Times New Roman" w:cs="Times New Roman"/>
          <w:color w:val="000000"/>
          <w:lang w:eastAsia="da-DK"/>
        </w:rPr>
        <w:t>,</w:t>
      </w:r>
      <w:r w:rsidR="00143E34" w:rsidRPr="00577043">
        <w:rPr>
          <w:rFonts w:eastAsia="Times New Roman" w:cs="Times New Roman"/>
          <w:color w:val="000000"/>
          <w:lang w:eastAsia="da-DK"/>
        </w:rPr>
        <w:t xml:space="preserve"> </w:t>
      </w:r>
      <w:r w:rsidR="002815DC" w:rsidRPr="00577043">
        <w:rPr>
          <w:rFonts w:eastAsia="Times New Roman" w:cs="Times New Roman"/>
          <w:color w:val="000000"/>
          <w:lang w:eastAsia="da-DK"/>
        </w:rPr>
        <w:t>træder</w:t>
      </w:r>
      <w:r w:rsidR="00143E34" w:rsidRPr="00577043">
        <w:rPr>
          <w:rFonts w:eastAsia="Times New Roman" w:cs="Times New Roman"/>
          <w:color w:val="000000"/>
          <w:lang w:eastAsia="da-DK"/>
        </w:rPr>
        <w:t xml:space="preserve"> i kraft </w:t>
      </w:r>
      <w:r w:rsidR="00865CC7" w:rsidRPr="00577043">
        <w:rPr>
          <w:rFonts w:eastAsia="Times New Roman" w:cs="Times New Roman"/>
          <w:color w:val="000000"/>
          <w:lang w:eastAsia="da-DK"/>
        </w:rPr>
        <w:t>tre år efter datoen, der er omhandlet i stk. 1</w:t>
      </w:r>
      <w:r w:rsidR="00143E34" w:rsidRPr="00577043">
        <w:rPr>
          <w:rFonts w:eastAsia="Times New Roman" w:cs="Times New Roman"/>
          <w:color w:val="000000"/>
          <w:lang w:eastAsia="da-DK"/>
        </w:rPr>
        <w:t>.</w:t>
      </w:r>
    </w:p>
    <w:p w14:paraId="00AEAF65" w14:textId="77777777" w:rsidR="002359C3" w:rsidRPr="00577043" w:rsidRDefault="002359C3" w:rsidP="002359C3">
      <w:pPr>
        <w:rPr>
          <w:rFonts w:eastAsia="Times New Roman" w:cs="Times New Roman"/>
          <w:color w:val="000000"/>
          <w:lang w:eastAsia="da-DK"/>
        </w:rPr>
      </w:pPr>
      <w:r>
        <w:rPr>
          <w:rFonts w:eastAsia="Times New Roman" w:cs="Times New Roman"/>
          <w:i/>
          <w:color w:val="000000"/>
          <w:lang w:eastAsia="da-DK"/>
        </w:rPr>
        <w:t xml:space="preserve">   Stk. </w:t>
      </w:r>
      <w:r w:rsidR="00F9344C">
        <w:rPr>
          <w:rFonts w:eastAsia="Times New Roman" w:cs="Times New Roman"/>
          <w:i/>
          <w:color w:val="000000"/>
          <w:lang w:eastAsia="da-DK"/>
        </w:rPr>
        <w:t>7</w:t>
      </w:r>
      <w:r w:rsidRPr="00577043">
        <w:rPr>
          <w:rFonts w:eastAsia="Times New Roman" w:cs="Times New Roman"/>
          <w:i/>
          <w:color w:val="000000"/>
          <w:lang w:eastAsia="da-DK"/>
        </w:rPr>
        <w:t xml:space="preserve">. </w:t>
      </w:r>
      <w:r w:rsidRPr="00577043">
        <w:rPr>
          <w:rFonts w:eastAsia="Times New Roman" w:cs="Times New Roman"/>
          <w:color w:val="000000"/>
          <w:lang w:eastAsia="da-DK"/>
        </w:rPr>
        <w:t xml:space="preserve">§ </w:t>
      </w:r>
      <w:r w:rsidR="007C42E6">
        <w:rPr>
          <w:rFonts w:eastAsia="Times New Roman" w:cs="Times New Roman"/>
          <w:color w:val="000000"/>
          <w:lang w:eastAsia="da-DK"/>
        </w:rPr>
        <w:t>37</w:t>
      </w:r>
      <w:r w:rsidRPr="00577043">
        <w:rPr>
          <w:rFonts w:eastAsia="Times New Roman" w:cs="Times New Roman"/>
          <w:color w:val="000000"/>
          <w:lang w:eastAsia="da-DK"/>
        </w:rPr>
        <w:t xml:space="preserve">, </w:t>
      </w:r>
      <w:r>
        <w:rPr>
          <w:rFonts w:eastAsia="Times New Roman" w:cs="Times New Roman"/>
          <w:color w:val="000000"/>
          <w:lang w:eastAsia="da-DK"/>
        </w:rPr>
        <w:t>stk. 1</w:t>
      </w:r>
      <w:r w:rsidRPr="00577043">
        <w:rPr>
          <w:rFonts w:eastAsia="Times New Roman" w:cs="Times New Roman"/>
          <w:color w:val="000000"/>
          <w:lang w:eastAsia="da-DK"/>
        </w:rPr>
        <w:t>, nr. 9</w:t>
      </w:r>
      <w:r>
        <w:rPr>
          <w:rFonts w:eastAsia="Times New Roman" w:cs="Times New Roman"/>
          <w:color w:val="000000"/>
          <w:lang w:eastAsia="da-DK"/>
        </w:rPr>
        <w:t>-</w:t>
      </w:r>
      <w:r w:rsidRPr="00577043">
        <w:rPr>
          <w:rFonts w:eastAsia="Times New Roman" w:cs="Times New Roman"/>
          <w:color w:val="000000"/>
          <w:lang w:eastAsia="da-DK"/>
        </w:rPr>
        <w:t>11</w:t>
      </w:r>
      <w:r w:rsidR="003710EF">
        <w:rPr>
          <w:rFonts w:eastAsia="Times New Roman" w:cs="Times New Roman"/>
          <w:color w:val="000000"/>
          <w:lang w:eastAsia="da-DK"/>
        </w:rPr>
        <w:t xml:space="preserve"> og </w:t>
      </w:r>
      <w:r w:rsidRPr="00577043">
        <w:rPr>
          <w:rFonts w:eastAsia="Times New Roman" w:cs="Times New Roman"/>
          <w:color w:val="000000"/>
          <w:lang w:eastAsia="da-DK"/>
        </w:rPr>
        <w:t xml:space="preserve">nr. 15-18, træder i kraft </w:t>
      </w:r>
      <w:r>
        <w:rPr>
          <w:rFonts w:eastAsia="Times New Roman" w:cs="Times New Roman"/>
          <w:color w:val="000000"/>
          <w:lang w:eastAsia="da-DK"/>
        </w:rPr>
        <w:t>1</w:t>
      </w:r>
      <w:r w:rsidRPr="00577043">
        <w:rPr>
          <w:rFonts w:eastAsia="Times New Roman" w:cs="Times New Roman"/>
          <w:color w:val="000000"/>
          <w:lang w:eastAsia="da-DK"/>
        </w:rPr>
        <w:t xml:space="preserve"> år efter datoen, der er omhandlet i stk. 1.</w:t>
      </w:r>
    </w:p>
    <w:p w14:paraId="488B6F16" w14:textId="77777777" w:rsidR="00511D06" w:rsidRPr="00577043" w:rsidRDefault="00A253F3" w:rsidP="00CB2276">
      <w:pPr>
        <w:rPr>
          <w:rFonts w:eastAsia="Times New Roman" w:cs="Times New Roman"/>
          <w:color w:val="000000"/>
          <w:lang w:eastAsia="da-DK"/>
        </w:rPr>
      </w:pPr>
      <w:r>
        <w:rPr>
          <w:rFonts w:eastAsia="Times New Roman" w:cs="Times New Roman"/>
          <w:color w:val="000000"/>
          <w:lang w:eastAsia="da-DK"/>
        </w:rPr>
        <w:t xml:space="preserve">   </w:t>
      </w:r>
      <w:r w:rsidR="00F3470C" w:rsidRPr="00577043">
        <w:rPr>
          <w:rFonts w:eastAsia="Times New Roman" w:cs="Times New Roman"/>
          <w:i/>
          <w:color w:val="000000"/>
          <w:lang w:eastAsia="da-DK"/>
        </w:rPr>
        <w:t xml:space="preserve">Stk. </w:t>
      </w:r>
      <w:r w:rsidR="00F9344C">
        <w:rPr>
          <w:rFonts w:eastAsia="Times New Roman" w:cs="Times New Roman"/>
          <w:i/>
          <w:color w:val="000000"/>
          <w:lang w:eastAsia="da-DK"/>
        </w:rPr>
        <w:t>8</w:t>
      </w:r>
      <w:r w:rsidR="00511D06" w:rsidRPr="00577043">
        <w:rPr>
          <w:rFonts w:eastAsia="Times New Roman" w:cs="Times New Roman"/>
          <w:i/>
          <w:color w:val="000000"/>
          <w:lang w:eastAsia="da-DK"/>
        </w:rPr>
        <w:t>.</w:t>
      </w:r>
      <w:r w:rsidR="00511D06" w:rsidRPr="00577043">
        <w:rPr>
          <w:rFonts w:eastAsia="Times New Roman" w:cs="Times New Roman"/>
          <w:color w:val="000000"/>
          <w:lang w:eastAsia="da-DK"/>
        </w:rPr>
        <w:t xml:space="preserve"> Udpegning af medlemmer til de videnskabsetiske lægemiddelkomiteer finder sted inden lovens ikrafttræden. Den første udpegningsperiode forkortes, så den udløber med udgangen af den indeværende regionale valgperiode. Den første udpegningsperiode medgår ikke i opgørelsen af, hvorvidt en person kan genudpeges som medlem af den videnskabsetiske lægemiddelkomité. Udpegninger til en regional videnskabsetisk komité eller den Nationale Videnskabsetiske komité medgår ved efterfølgende udpegninger efter denne lov i opgørelsen af, hvorvidt en person kan genudpeges som medlem af en videnskabsetisk lægemiddelkomité.</w:t>
      </w:r>
    </w:p>
    <w:p w14:paraId="28317E14" w14:textId="77777777" w:rsidR="00A0448A" w:rsidRPr="00577043" w:rsidRDefault="00810712" w:rsidP="00CB2276">
      <w:pPr>
        <w:rPr>
          <w:rFonts w:eastAsia="Times New Roman" w:cs="Times New Roman"/>
          <w:color w:val="000000"/>
          <w:lang w:eastAsia="da-DK"/>
        </w:rPr>
      </w:pPr>
      <w:r w:rsidRPr="00577043">
        <w:rPr>
          <w:rFonts w:eastAsia="Times New Roman" w:cs="Times New Roman"/>
          <w:i/>
          <w:color w:val="000000"/>
          <w:lang w:eastAsia="da-DK"/>
        </w:rPr>
        <w:t xml:space="preserve">   </w:t>
      </w:r>
    </w:p>
    <w:p w14:paraId="0DBE9777" w14:textId="77777777" w:rsidR="00511D06" w:rsidRPr="00577043" w:rsidRDefault="00511D06" w:rsidP="00CB2276">
      <w:pPr>
        <w:rPr>
          <w:rFonts w:eastAsia="Times New Roman" w:cs="Times New Roman"/>
          <w:color w:val="000000"/>
          <w:lang w:eastAsia="da-DK"/>
        </w:rPr>
      </w:pPr>
      <w:r w:rsidRPr="00577043">
        <w:rPr>
          <w:rFonts w:eastAsia="Times New Roman" w:cs="Times New Roman"/>
          <w:color w:val="000000"/>
          <w:lang w:eastAsia="da-DK"/>
        </w:rPr>
        <w:t xml:space="preserve">   </w:t>
      </w:r>
    </w:p>
    <w:p w14:paraId="63C56DAB" w14:textId="77777777" w:rsidR="009E14D7" w:rsidRPr="00577043" w:rsidRDefault="00546904" w:rsidP="00184755">
      <w:pPr>
        <w:jc w:val="center"/>
        <w:rPr>
          <w:rFonts w:eastAsia="Times New Roman" w:cs="Times New Roman"/>
          <w:color w:val="000000"/>
          <w:lang w:eastAsia="da-DK"/>
        </w:rPr>
      </w:pPr>
      <w:r w:rsidRPr="00577043">
        <w:rPr>
          <w:rFonts w:eastAsia="Times New Roman" w:cs="Times New Roman"/>
          <w:color w:val="000000"/>
          <w:lang w:eastAsia="da-DK"/>
        </w:rPr>
        <w:t xml:space="preserve">Kapitel </w:t>
      </w:r>
      <w:r w:rsidR="00184755" w:rsidRPr="00577043">
        <w:rPr>
          <w:rFonts w:eastAsia="Times New Roman" w:cs="Times New Roman"/>
          <w:color w:val="000000"/>
          <w:lang w:eastAsia="da-DK"/>
        </w:rPr>
        <w:t>13</w:t>
      </w:r>
    </w:p>
    <w:p w14:paraId="280D373A" w14:textId="77777777" w:rsidR="00184755" w:rsidRPr="00577043" w:rsidRDefault="00184755" w:rsidP="00184755">
      <w:pPr>
        <w:jc w:val="center"/>
        <w:rPr>
          <w:rFonts w:eastAsia="Times New Roman" w:cs="Times New Roman"/>
          <w:color w:val="000000"/>
          <w:lang w:eastAsia="da-DK"/>
        </w:rPr>
      </w:pPr>
    </w:p>
    <w:p w14:paraId="1E0C7A73" w14:textId="77777777" w:rsidR="00511D06" w:rsidRPr="00577043" w:rsidRDefault="00511D06" w:rsidP="00CB2276">
      <w:pPr>
        <w:pStyle w:val="Overskrift1"/>
        <w:spacing w:before="0"/>
        <w:rPr>
          <w:rFonts w:eastAsia="Times New Roman" w:cs="Times New Roman"/>
          <w:b w:val="0"/>
          <w:i/>
          <w:lang w:eastAsia="da-DK"/>
        </w:rPr>
      </w:pPr>
      <w:r w:rsidRPr="00577043">
        <w:rPr>
          <w:rFonts w:eastAsia="Times New Roman" w:cs="Times New Roman"/>
          <w:b w:val="0"/>
          <w:i/>
          <w:lang w:eastAsia="da-DK"/>
        </w:rPr>
        <w:t>Ændringer i anden lovgivning</w:t>
      </w:r>
    </w:p>
    <w:p w14:paraId="5FC2411A" w14:textId="77777777" w:rsidR="00145696" w:rsidRPr="00577043" w:rsidRDefault="00145696" w:rsidP="00CB2276">
      <w:pPr>
        <w:rPr>
          <w:rFonts w:cs="Times New Roman"/>
          <w:lang w:eastAsia="da-DK"/>
        </w:rPr>
      </w:pPr>
    </w:p>
    <w:p w14:paraId="3A486C8B" w14:textId="77777777" w:rsidR="00145696" w:rsidRPr="00577043" w:rsidRDefault="00145696" w:rsidP="00CB2276">
      <w:pPr>
        <w:pStyle w:val="Overskrift2"/>
        <w:rPr>
          <w:rFonts w:eastAsia="Times New Roman" w:cs="Times New Roman"/>
          <w:lang w:eastAsia="da-DK"/>
        </w:rPr>
      </w:pPr>
      <w:r w:rsidRPr="00577043">
        <w:rPr>
          <w:rFonts w:eastAsia="Times New Roman" w:cs="Times New Roman"/>
          <w:lang w:eastAsia="da-DK"/>
        </w:rPr>
        <w:t>[Ændringer i komitéloven]</w:t>
      </w:r>
    </w:p>
    <w:p w14:paraId="0778F222" w14:textId="77777777" w:rsidR="00511D06" w:rsidRPr="00577043" w:rsidRDefault="00511D06" w:rsidP="00CB2276">
      <w:pPr>
        <w:jc w:val="both"/>
        <w:rPr>
          <w:rFonts w:eastAsia="Times New Roman" w:cs="Times New Roman"/>
          <w:color w:val="000000"/>
          <w:lang w:eastAsia="da-DK"/>
        </w:rPr>
      </w:pPr>
    </w:p>
    <w:p w14:paraId="45EDA977" w14:textId="77777777" w:rsidR="001C54E7" w:rsidRPr="00577043" w:rsidRDefault="00984E66" w:rsidP="00CB2276">
      <w:pPr>
        <w:jc w:val="both"/>
        <w:rPr>
          <w:rFonts w:eastAsia="Times New Roman" w:cs="Times New Roman"/>
          <w:color w:val="000000"/>
          <w:lang w:eastAsia="da-DK"/>
        </w:rPr>
      </w:pPr>
      <w:r w:rsidRPr="00577043">
        <w:rPr>
          <w:rFonts w:eastAsia="Times New Roman" w:cs="Times New Roman"/>
          <w:color w:val="000000"/>
          <w:lang w:eastAsia="da-DK"/>
        </w:rPr>
        <w:t xml:space="preserve">   </w:t>
      </w:r>
      <w:r w:rsidR="00E55421" w:rsidRPr="00577043">
        <w:rPr>
          <w:rFonts w:eastAsia="Times New Roman" w:cs="Times New Roman"/>
          <w:b/>
          <w:color w:val="000000"/>
          <w:lang w:eastAsia="da-DK"/>
        </w:rPr>
        <w:t xml:space="preserve">§ </w:t>
      </w:r>
      <w:r w:rsidR="00F9344C">
        <w:rPr>
          <w:rFonts w:eastAsia="Times New Roman" w:cs="Times New Roman"/>
          <w:b/>
          <w:color w:val="000000"/>
          <w:lang w:eastAsia="da-DK"/>
        </w:rPr>
        <w:t>37</w:t>
      </w:r>
      <w:r w:rsidRPr="00577043">
        <w:rPr>
          <w:rFonts w:eastAsia="Times New Roman" w:cs="Times New Roman"/>
          <w:b/>
          <w:color w:val="000000"/>
          <w:lang w:eastAsia="da-DK"/>
        </w:rPr>
        <w:t xml:space="preserve">. </w:t>
      </w:r>
      <w:r w:rsidR="001C54E7" w:rsidRPr="00577043">
        <w:rPr>
          <w:rFonts w:eastAsia="Times New Roman" w:cs="Times New Roman"/>
          <w:color w:val="000000"/>
          <w:lang w:eastAsia="da-DK"/>
        </w:rPr>
        <w:t>I lov nr. 593 af 14. juni 2011 om videnskabsetisk behandling af sundhedsvidenskabelige forskningsprojekter foretages følgende ændringer:</w:t>
      </w:r>
    </w:p>
    <w:p w14:paraId="498B0D07" w14:textId="77777777" w:rsidR="00DC3495" w:rsidRPr="00577043" w:rsidRDefault="00DC3495" w:rsidP="00CB2276">
      <w:pPr>
        <w:jc w:val="both"/>
        <w:rPr>
          <w:rFonts w:eastAsia="Times New Roman" w:cs="Times New Roman"/>
          <w:color w:val="000000"/>
          <w:lang w:eastAsia="da-DK"/>
        </w:rPr>
      </w:pPr>
    </w:p>
    <w:p w14:paraId="767F945D" w14:textId="77777777" w:rsidR="00A138B8" w:rsidRPr="00577043" w:rsidRDefault="00A138B8" w:rsidP="00CB2276">
      <w:pPr>
        <w:rPr>
          <w:rFonts w:eastAsia="Times New Roman" w:cs="Times New Roman"/>
          <w:b/>
          <w:color w:val="000000"/>
          <w:lang w:eastAsia="da-DK"/>
        </w:rPr>
      </w:pPr>
    </w:p>
    <w:p w14:paraId="176BB74A" w14:textId="77777777" w:rsidR="00C371DA" w:rsidRPr="00577043" w:rsidRDefault="00C371DA" w:rsidP="00CB2276">
      <w:pPr>
        <w:rPr>
          <w:rFonts w:eastAsia="Times New Roman" w:cs="Times New Roman"/>
          <w:color w:val="000000"/>
          <w:lang w:eastAsia="da-DK"/>
        </w:rPr>
      </w:pPr>
      <w:r w:rsidRPr="00577043">
        <w:rPr>
          <w:rFonts w:eastAsia="Times New Roman" w:cs="Times New Roman"/>
          <w:b/>
          <w:color w:val="000000"/>
          <w:lang w:eastAsia="da-DK"/>
        </w:rPr>
        <w:t xml:space="preserve">1. </w:t>
      </w:r>
      <w:r w:rsidRPr="00577043">
        <w:rPr>
          <w:rFonts w:eastAsia="Times New Roman" w:cs="Times New Roman"/>
          <w:color w:val="000000"/>
          <w:lang w:eastAsia="da-DK"/>
        </w:rPr>
        <w:t xml:space="preserve"> Overalt i loven erstattes ”Den Nationale Videnskabsetiske Komité” med ”National Videnskabsetisk Komité”.</w:t>
      </w:r>
    </w:p>
    <w:p w14:paraId="1A633CF8" w14:textId="77777777" w:rsidR="00C371DA" w:rsidRPr="00577043" w:rsidRDefault="00C371DA" w:rsidP="00CB2276">
      <w:pPr>
        <w:rPr>
          <w:rFonts w:eastAsia="Times New Roman" w:cs="Times New Roman"/>
          <w:b/>
          <w:color w:val="000000"/>
          <w:lang w:eastAsia="da-DK"/>
        </w:rPr>
      </w:pPr>
    </w:p>
    <w:p w14:paraId="6C26BA93" w14:textId="77777777" w:rsidR="00A138B8" w:rsidRPr="00577043" w:rsidRDefault="00A138B8" w:rsidP="00CB2276">
      <w:pPr>
        <w:rPr>
          <w:rFonts w:eastAsia="Times New Roman" w:cs="Times New Roman"/>
          <w:b/>
          <w:color w:val="000000"/>
          <w:lang w:eastAsia="da-DK"/>
        </w:rPr>
      </w:pPr>
    </w:p>
    <w:p w14:paraId="24D09A5B" w14:textId="77777777" w:rsidR="009969A5" w:rsidRPr="00577043" w:rsidRDefault="00F9344C" w:rsidP="00CB2276">
      <w:pPr>
        <w:rPr>
          <w:rFonts w:eastAsia="Times New Roman" w:cs="Times New Roman"/>
          <w:color w:val="000000"/>
          <w:lang w:eastAsia="da-DK"/>
        </w:rPr>
      </w:pPr>
      <w:r>
        <w:rPr>
          <w:rFonts w:eastAsia="Times New Roman" w:cs="Times New Roman"/>
          <w:b/>
          <w:color w:val="000000"/>
          <w:lang w:eastAsia="da-DK"/>
        </w:rPr>
        <w:t>2</w:t>
      </w:r>
      <w:r w:rsidR="00511D06" w:rsidRPr="00577043">
        <w:rPr>
          <w:rFonts w:eastAsia="Times New Roman" w:cs="Times New Roman"/>
          <w:b/>
          <w:color w:val="000000"/>
          <w:lang w:eastAsia="da-DK"/>
        </w:rPr>
        <w:t xml:space="preserve">. </w:t>
      </w:r>
      <w:r w:rsidR="00DC3495" w:rsidRPr="00845F5A">
        <w:rPr>
          <w:rFonts w:eastAsia="Times New Roman" w:cs="Times New Roman"/>
          <w:i/>
          <w:color w:val="000000"/>
          <w:lang w:eastAsia="da-DK"/>
        </w:rPr>
        <w:t>§ 1,</w:t>
      </w:r>
      <w:r w:rsidR="009969A5" w:rsidRPr="00845F5A">
        <w:rPr>
          <w:rFonts w:eastAsia="Times New Roman" w:cs="Times New Roman"/>
          <w:i/>
          <w:color w:val="000000"/>
          <w:lang w:eastAsia="da-DK"/>
        </w:rPr>
        <w:t xml:space="preserve"> stk. 2</w:t>
      </w:r>
      <w:r w:rsidR="009F4033" w:rsidRPr="00845F5A">
        <w:rPr>
          <w:rFonts w:eastAsia="Times New Roman" w:cs="Times New Roman"/>
          <w:i/>
          <w:color w:val="000000"/>
          <w:lang w:eastAsia="da-DK"/>
        </w:rPr>
        <w:t>,</w:t>
      </w:r>
      <w:r w:rsidR="009969A5" w:rsidRPr="00577043">
        <w:rPr>
          <w:rFonts w:eastAsia="Times New Roman" w:cs="Times New Roman"/>
          <w:color w:val="000000"/>
          <w:lang w:eastAsia="da-DK"/>
        </w:rPr>
        <w:t xml:space="preserve"> affattes således:</w:t>
      </w:r>
    </w:p>
    <w:p w14:paraId="71BE5FC2" w14:textId="77777777" w:rsidR="00DC3495" w:rsidRPr="00577043" w:rsidRDefault="009969A5" w:rsidP="00CB2276">
      <w:pPr>
        <w:rPr>
          <w:rFonts w:eastAsia="Times New Roman" w:cs="Times New Roman"/>
          <w:color w:val="000000"/>
          <w:lang w:eastAsia="da-DK"/>
        </w:rPr>
      </w:pPr>
      <w:r w:rsidRPr="00577043">
        <w:rPr>
          <w:rFonts w:eastAsia="Times New Roman" w:cs="Times New Roman"/>
          <w:color w:val="000000"/>
          <w:lang w:eastAsia="da-DK"/>
        </w:rPr>
        <w:t>”Det videnskabsetiske komitésystem består af regionale komiteer, videnskabsetiske lægemiddelkomiteer og en national komité</w:t>
      </w:r>
      <w:r w:rsidR="00C4580B" w:rsidRPr="00577043">
        <w:rPr>
          <w:rFonts w:eastAsia="Times New Roman" w:cs="Times New Roman"/>
          <w:color w:val="000000"/>
          <w:lang w:eastAsia="da-DK"/>
        </w:rPr>
        <w:t>, jf. kapitel 7 og lov om kliniske forsøg med lægemidler</w:t>
      </w:r>
      <w:r w:rsidRPr="00577043">
        <w:rPr>
          <w:rFonts w:eastAsia="Times New Roman" w:cs="Times New Roman"/>
          <w:color w:val="000000"/>
          <w:lang w:eastAsia="da-DK"/>
        </w:rPr>
        <w:t>”.</w:t>
      </w:r>
      <w:r w:rsidR="00DC3495" w:rsidRPr="00577043">
        <w:rPr>
          <w:rFonts w:eastAsia="Times New Roman" w:cs="Times New Roman"/>
          <w:color w:val="000000"/>
          <w:lang w:eastAsia="da-DK"/>
        </w:rPr>
        <w:t xml:space="preserve"> </w:t>
      </w:r>
    </w:p>
    <w:p w14:paraId="2F6C995A" w14:textId="77777777" w:rsidR="00A138B8" w:rsidRPr="00577043" w:rsidRDefault="00A138B8" w:rsidP="00CB2276">
      <w:pPr>
        <w:jc w:val="both"/>
        <w:rPr>
          <w:rFonts w:eastAsia="Times New Roman" w:cs="Times New Roman"/>
          <w:b/>
          <w:color w:val="000000"/>
          <w:lang w:eastAsia="da-DK"/>
        </w:rPr>
      </w:pPr>
    </w:p>
    <w:p w14:paraId="7443DF8B" w14:textId="77777777" w:rsidR="00DC3495" w:rsidRPr="00577043" w:rsidRDefault="00F9344C" w:rsidP="00CB2276">
      <w:pPr>
        <w:jc w:val="both"/>
        <w:rPr>
          <w:rFonts w:eastAsia="Times New Roman" w:cs="Times New Roman"/>
          <w:color w:val="000000"/>
          <w:lang w:eastAsia="da-DK"/>
        </w:rPr>
      </w:pPr>
      <w:r>
        <w:rPr>
          <w:rFonts w:eastAsia="Times New Roman" w:cs="Times New Roman"/>
          <w:b/>
          <w:color w:val="000000"/>
          <w:lang w:eastAsia="da-DK"/>
        </w:rPr>
        <w:t>3</w:t>
      </w:r>
      <w:r w:rsidR="00DC3495" w:rsidRPr="00577043">
        <w:rPr>
          <w:rFonts w:eastAsia="Times New Roman" w:cs="Times New Roman"/>
          <w:b/>
          <w:color w:val="000000"/>
          <w:lang w:eastAsia="da-DK"/>
        </w:rPr>
        <w:t xml:space="preserve">. </w:t>
      </w:r>
      <w:r w:rsidR="00DC3495" w:rsidRPr="00577043">
        <w:rPr>
          <w:rFonts w:eastAsia="Times New Roman" w:cs="Times New Roman"/>
          <w:color w:val="000000"/>
          <w:lang w:eastAsia="da-DK"/>
        </w:rPr>
        <w:t>I</w:t>
      </w:r>
      <w:r w:rsidR="00DC3495" w:rsidRPr="00577043">
        <w:rPr>
          <w:rFonts w:eastAsia="Times New Roman" w:cs="Times New Roman"/>
          <w:b/>
          <w:color w:val="000000"/>
          <w:lang w:eastAsia="da-DK"/>
        </w:rPr>
        <w:t xml:space="preserve"> </w:t>
      </w:r>
      <w:r w:rsidR="009F4033" w:rsidRPr="00845F5A">
        <w:rPr>
          <w:rFonts w:eastAsia="Times New Roman" w:cs="Times New Roman"/>
          <w:i/>
          <w:color w:val="000000"/>
          <w:lang w:eastAsia="da-DK"/>
        </w:rPr>
        <w:t>§ 1</w:t>
      </w:r>
      <w:r w:rsidR="009F4033" w:rsidRPr="00577043">
        <w:rPr>
          <w:rFonts w:eastAsia="Times New Roman" w:cs="Times New Roman"/>
          <w:color w:val="000000"/>
          <w:lang w:eastAsia="da-DK"/>
        </w:rPr>
        <w:t xml:space="preserve"> indsættes efter stk. 4</w:t>
      </w:r>
      <w:r w:rsidR="00DC3495" w:rsidRPr="00577043">
        <w:rPr>
          <w:rFonts w:eastAsia="Times New Roman" w:cs="Times New Roman"/>
          <w:color w:val="000000"/>
          <w:lang w:eastAsia="da-DK"/>
        </w:rPr>
        <w:t xml:space="preserve"> som nyt stykke:</w:t>
      </w:r>
    </w:p>
    <w:p w14:paraId="6AE3CD22" w14:textId="77777777" w:rsidR="00DC3495" w:rsidRPr="00577043" w:rsidRDefault="00DC3495" w:rsidP="00CB2276">
      <w:pPr>
        <w:jc w:val="both"/>
        <w:rPr>
          <w:rFonts w:eastAsia="Times New Roman" w:cs="Times New Roman"/>
          <w:color w:val="000000"/>
          <w:lang w:eastAsia="da-DK"/>
        </w:rPr>
      </w:pPr>
      <w:r w:rsidRPr="00577043">
        <w:rPr>
          <w:rFonts w:eastAsia="Times New Roman" w:cs="Times New Roman"/>
          <w:color w:val="000000"/>
          <w:lang w:eastAsia="da-DK"/>
        </w:rPr>
        <w:t xml:space="preserve">   ”</w:t>
      </w:r>
      <w:r w:rsidRPr="00577043">
        <w:rPr>
          <w:rFonts w:eastAsia="Times New Roman" w:cs="Times New Roman"/>
          <w:i/>
          <w:color w:val="000000"/>
          <w:lang w:eastAsia="da-DK"/>
        </w:rPr>
        <w:t>Stk. 5.</w:t>
      </w:r>
      <w:r w:rsidR="009E14D7" w:rsidRPr="00577043">
        <w:rPr>
          <w:rFonts w:eastAsia="Times New Roman" w:cs="Times New Roman"/>
          <w:color w:val="000000"/>
          <w:lang w:eastAsia="da-DK"/>
        </w:rPr>
        <w:t xml:space="preserve"> Loven gælder ikke </w:t>
      </w:r>
      <w:r w:rsidRPr="00577043">
        <w:rPr>
          <w:rFonts w:eastAsia="Times New Roman" w:cs="Times New Roman"/>
          <w:color w:val="000000"/>
          <w:lang w:eastAsia="da-DK"/>
        </w:rPr>
        <w:t>sundhedsvidenskabelige forskning</w:t>
      </w:r>
      <w:r w:rsidR="009E14D7" w:rsidRPr="00577043">
        <w:rPr>
          <w:rFonts w:eastAsia="Times New Roman" w:cs="Times New Roman"/>
          <w:color w:val="000000"/>
          <w:lang w:eastAsia="da-DK"/>
        </w:rPr>
        <w:t>sprojekter, der angår kliniske forsøg med lægemidler, som anmeldes i medfør af Europa-Parlamentets og Rådets forordning (EU) Nr. 536/2014 af 16. april 2014 om kliniske forsøg med humanmedicinske lægemidler og om ophævelse af direktiv 2001/20/EF.</w:t>
      </w:r>
      <w:r w:rsidRPr="00577043">
        <w:rPr>
          <w:rFonts w:eastAsia="Times New Roman" w:cs="Times New Roman"/>
          <w:color w:val="000000"/>
          <w:lang w:eastAsia="da-DK"/>
        </w:rPr>
        <w:t xml:space="preserve"> </w:t>
      </w:r>
    </w:p>
    <w:p w14:paraId="40417216" w14:textId="77777777" w:rsidR="00A138B8" w:rsidRPr="00577043" w:rsidRDefault="00A138B8" w:rsidP="00CB2276">
      <w:pPr>
        <w:jc w:val="both"/>
        <w:rPr>
          <w:rFonts w:eastAsia="Times New Roman" w:cs="Times New Roman"/>
          <w:b/>
          <w:color w:val="000000"/>
          <w:lang w:eastAsia="da-DK"/>
        </w:rPr>
      </w:pPr>
    </w:p>
    <w:p w14:paraId="29C27CA7" w14:textId="77777777" w:rsidR="00EB1099" w:rsidRPr="00577043" w:rsidRDefault="00F9344C" w:rsidP="00CB2276">
      <w:pPr>
        <w:jc w:val="both"/>
        <w:rPr>
          <w:rFonts w:eastAsia="Times New Roman" w:cs="Times New Roman"/>
          <w:color w:val="000000"/>
          <w:lang w:eastAsia="da-DK"/>
        </w:rPr>
      </w:pPr>
      <w:r>
        <w:rPr>
          <w:rFonts w:eastAsia="Times New Roman" w:cs="Times New Roman"/>
          <w:b/>
          <w:color w:val="000000"/>
          <w:lang w:eastAsia="da-DK"/>
        </w:rPr>
        <w:t>4</w:t>
      </w:r>
      <w:r w:rsidR="009934C6" w:rsidRPr="00577043">
        <w:rPr>
          <w:rFonts w:eastAsia="Times New Roman" w:cs="Times New Roman"/>
          <w:b/>
          <w:color w:val="000000"/>
          <w:lang w:eastAsia="da-DK"/>
        </w:rPr>
        <w:t xml:space="preserve">. </w:t>
      </w:r>
      <w:r w:rsidR="008404A6" w:rsidRPr="00845F5A">
        <w:rPr>
          <w:rFonts w:eastAsia="Times New Roman" w:cs="Times New Roman"/>
          <w:i/>
          <w:color w:val="000000"/>
          <w:lang w:eastAsia="da-DK"/>
        </w:rPr>
        <w:t>§ 2, stk. 1, nr. 1, 2. pkt.</w:t>
      </w:r>
      <w:r w:rsidR="00143E34" w:rsidRPr="00577043">
        <w:rPr>
          <w:rFonts w:eastAsia="Times New Roman" w:cs="Times New Roman"/>
          <w:color w:val="000000"/>
          <w:lang w:eastAsia="da-DK"/>
        </w:rPr>
        <w:t>,</w:t>
      </w:r>
      <w:r w:rsidR="008404A6" w:rsidRPr="00577043">
        <w:rPr>
          <w:rFonts w:eastAsia="Times New Roman" w:cs="Times New Roman"/>
          <w:color w:val="000000"/>
          <w:lang w:eastAsia="da-DK"/>
        </w:rPr>
        <w:t xml:space="preserve"> affattes således:</w:t>
      </w:r>
    </w:p>
    <w:p w14:paraId="2534D129" w14:textId="77777777" w:rsidR="008404A6" w:rsidRPr="00577043" w:rsidRDefault="00906232" w:rsidP="00CB2276">
      <w:pPr>
        <w:jc w:val="both"/>
        <w:rPr>
          <w:rFonts w:eastAsia="Times New Roman" w:cs="Times New Roman"/>
          <w:color w:val="000000"/>
          <w:lang w:eastAsia="da-DK"/>
        </w:rPr>
      </w:pPr>
      <w:r w:rsidRPr="00577043">
        <w:rPr>
          <w:rFonts w:eastAsia="Times New Roman" w:cs="Times New Roman"/>
          <w:color w:val="000000"/>
          <w:lang w:eastAsia="da-DK"/>
        </w:rPr>
        <w:t xml:space="preserve">   </w:t>
      </w:r>
      <w:r w:rsidR="008404A6" w:rsidRPr="00577043">
        <w:rPr>
          <w:rFonts w:eastAsia="Times New Roman" w:cs="Times New Roman"/>
          <w:color w:val="000000"/>
          <w:lang w:eastAsia="da-DK"/>
        </w:rPr>
        <w:t xml:space="preserve">”Herunder omfattes klinisk afprøvning af medicinsk udstyr, jf. nr. 2” </w:t>
      </w:r>
    </w:p>
    <w:p w14:paraId="7648D819" w14:textId="77777777" w:rsidR="00A138B8" w:rsidRPr="00577043" w:rsidRDefault="00A138B8" w:rsidP="00CB2276">
      <w:pPr>
        <w:jc w:val="both"/>
        <w:rPr>
          <w:rFonts w:eastAsia="Times New Roman" w:cs="Times New Roman"/>
          <w:b/>
          <w:color w:val="000000"/>
          <w:lang w:eastAsia="da-DK"/>
        </w:rPr>
      </w:pPr>
    </w:p>
    <w:p w14:paraId="63973EDA" w14:textId="77777777" w:rsidR="008404A6" w:rsidRPr="00577043" w:rsidRDefault="00F9344C" w:rsidP="00CB2276">
      <w:pPr>
        <w:jc w:val="both"/>
        <w:rPr>
          <w:rFonts w:eastAsia="Times New Roman" w:cs="Times New Roman"/>
          <w:color w:val="000000"/>
          <w:lang w:eastAsia="da-DK"/>
        </w:rPr>
      </w:pPr>
      <w:r>
        <w:rPr>
          <w:rFonts w:eastAsia="Times New Roman" w:cs="Times New Roman"/>
          <w:b/>
          <w:color w:val="000000"/>
          <w:lang w:eastAsia="da-DK"/>
        </w:rPr>
        <w:t>5</w:t>
      </w:r>
      <w:r w:rsidR="008404A6" w:rsidRPr="00577043">
        <w:rPr>
          <w:rFonts w:eastAsia="Times New Roman" w:cs="Times New Roman"/>
          <w:color w:val="000000"/>
          <w:lang w:eastAsia="da-DK"/>
        </w:rPr>
        <w:t xml:space="preserve">. </w:t>
      </w:r>
      <w:r w:rsidR="008404A6" w:rsidRPr="00845F5A">
        <w:rPr>
          <w:rFonts w:eastAsia="Times New Roman" w:cs="Times New Roman"/>
          <w:i/>
          <w:color w:val="000000"/>
          <w:lang w:eastAsia="da-DK"/>
        </w:rPr>
        <w:t>§ 2, stk. 1, nr. 2</w:t>
      </w:r>
      <w:r w:rsidR="00143E34" w:rsidRPr="00577043">
        <w:rPr>
          <w:rFonts w:eastAsia="Times New Roman" w:cs="Times New Roman"/>
          <w:color w:val="000000"/>
          <w:lang w:eastAsia="da-DK"/>
        </w:rPr>
        <w:t>,</w:t>
      </w:r>
      <w:r w:rsidR="008404A6" w:rsidRPr="00577043">
        <w:rPr>
          <w:rFonts w:eastAsia="Times New Roman" w:cs="Times New Roman"/>
          <w:color w:val="000000"/>
          <w:lang w:eastAsia="da-DK"/>
        </w:rPr>
        <w:t xml:space="preserve"> udgår.</w:t>
      </w:r>
    </w:p>
    <w:p w14:paraId="3C531021" w14:textId="77777777" w:rsidR="008404A6" w:rsidRPr="00577043" w:rsidRDefault="00906232" w:rsidP="00CB2276">
      <w:pPr>
        <w:jc w:val="both"/>
        <w:rPr>
          <w:rFonts w:eastAsia="Times New Roman" w:cs="Times New Roman"/>
          <w:color w:val="000000"/>
          <w:lang w:eastAsia="da-DK"/>
        </w:rPr>
      </w:pPr>
      <w:r w:rsidRPr="00577043">
        <w:rPr>
          <w:rFonts w:eastAsia="Times New Roman" w:cs="Times New Roman"/>
          <w:color w:val="000000"/>
          <w:lang w:eastAsia="da-DK"/>
        </w:rPr>
        <w:t xml:space="preserve">   </w:t>
      </w:r>
      <w:r w:rsidR="008404A6" w:rsidRPr="00577043">
        <w:rPr>
          <w:rFonts w:eastAsia="Times New Roman" w:cs="Times New Roman"/>
          <w:color w:val="000000"/>
          <w:lang w:eastAsia="da-DK"/>
        </w:rPr>
        <w:t>Nr. 3</w:t>
      </w:r>
      <w:r w:rsidR="00030BFE" w:rsidRPr="00577043">
        <w:rPr>
          <w:rFonts w:eastAsia="Times New Roman" w:cs="Times New Roman"/>
          <w:color w:val="000000"/>
          <w:lang w:eastAsia="da-DK"/>
        </w:rPr>
        <w:t>-</w:t>
      </w:r>
      <w:r w:rsidR="00FE499A" w:rsidRPr="00577043">
        <w:rPr>
          <w:rFonts w:eastAsia="Times New Roman" w:cs="Times New Roman"/>
          <w:color w:val="000000"/>
          <w:lang w:eastAsia="da-DK"/>
        </w:rPr>
        <w:t>11</w:t>
      </w:r>
      <w:r w:rsidR="008404A6" w:rsidRPr="00577043">
        <w:rPr>
          <w:rFonts w:eastAsia="Times New Roman" w:cs="Times New Roman"/>
          <w:color w:val="000000"/>
          <w:lang w:eastAsia="da-DK"/>
        </w:rPr>
        <w:t xml:space="preserve"> bliver herefter nr. 2</w:t>
      </w:r>
      <w:r w:rsidR="00030BFE" w:rsidRPr="00577043">
        <w:rPr>
          <w:rFonts w:eastAsia="Times New Roman" w:cs="Times New Roman"/>
          <w:color w:val="000000"/>
          <w:lang w:eastAsia="da-DK"/>
        </w:rPr>
        <w:t>-</w:t>
      </w:r>
      <w:r w:rsidR="008404A6" w:rsidRPr="00577043">
        <w:rPr>
          <w:rFonts w:eastAsia="Times New Roman" w:cs="Times New Roman"/>
          <w:color w:val="000000"/>
          <w:lang w:eastAsia="da-DK"/>
        </w:rPr>
        <w:t>10.</w:t>
      </w:r>
    </w:p>
    <w:p w14:paraId="599EA125" w14:textId="77777777" w:rsidR="00A138B8" w:rsidRPr="00577043" w:rsidRDefault="00A138B8" w:rsidP="00CB2276">
      <w:pPr>
        <w:jc w:val="both"/>
        <w:rPr>
          <w:rFonts w:eastAsia="Times New Roman" w:cs="Times New Roman"/>
          <w:b/>
          <w:color w:val="000000"/>
          <w:lang w:eastAsia="da-DK"/>
        </w:rPr>
      </w:pPr>
    </w:p>
    <w:p w14:paraId="3598FC82" w14:textId="77777777" w:rsidR="00FE499A" w:rsidRPr="00577043" w:rsidRDefault="00F9344C" w:rsidP="00CB2276">
      <w:pPr>
        <w:jc w:val="both"/>
        <w:rPr>
          <w:rFonts w:eastAsia="Times New Roman" w:cs="Times New Roman"/>
          <w:color w:val="000000"/>
          <w:lang w:eastAsia="da-DK"/>
        </w:rPr>
      </w:pPr>
      <w:r>
        <w:rPr>
          <w:rFonts w:eastAsia="Times New Roman" w:cs="Times New Roman"/>
          <w:b/>
          <w:color w:val="000000"/>
          <w:lang w:eastAsia="da-DK"/>
        </w:rPr>
        <w:t>6</w:t>
      </w:r>
      <w:r w:rsidR="00FE499A" w:rsidRPr="00577043">
        <w:rPr>
          <w:rFonts w:eastAsia="Times New Roman" w:cs="Times New Roman"/>
          <w:b/>
          <w:color w:val="000000"/>
          <w:lang w:eastAsia="da-DK"/>
        </w:rPr>
        <w:t>.</w:t>
      </w:r>
      <w:r w:rsidR="00FE499A" w:rsidRPr="00577043">
        <w:rPr>
          <w:rFonts w:eastAsia="Times New Roman" w:cs="Times New Roman"/>
          <w:color w:val="000000"/>
          <w:lang w:eastAsia="da-DK"/>
        </w:rPr>
        <w:t xml:space="preserve">  I </w:t>
      </w:r>
      <w:r w:rsidR="00FE499A" w:rsidRPr="00EE35F6">
        <w:rPr>
          <w:rFonts w:eastAsia="Times New Roman" w:cs="Times New Roman"/>
          <w:i/>
          <w:color w:val="000000"/>
          <w:lang w:eastAsia="da-DK"/>
        </w:rPr>
        <w:t>§ 2, stk. 1, nr. 11</w:t>
      </w:r>
      <w:r w:rsidR="00143E34" w:rsidRPr="00577043">
        <w:rPr>
          <w:rFonts w:eastAsia="Times New Roman" w:cs="Times New Roman"/>
          <w:color w:val="000000"/>
          <w:lang w:eastAsia="da-DK"/>
        </w:rPr>
        <w:t>,</w:t>
      </w:r>
      <w:r w:rsidR="00FE499A" w:rsidRPr="00577043">
        <w:rPr>
          <w:rFonts w:eastAsia="Times New Roman" w:cs="Times New Roman"/>
          <w:color w:val="000000"/>
          <w:lang w:eastAsia="da-DK"/>
        </w:rPr>
        <w:t xml:space="preserve"> udgår ”eller forsøgsværge”.</w:t>
      </w:r>
    </w:p>
    <w:p w14:paraId="491BC890" w14:textId="77777777" w:rsidR="00A138B8" w:rsidRPr="00577043" w:rsidRDefault="00A138B8" w:rsidP="00CB2276">
      <w:pPr>
        <w:jc w:val="both"/>
        <w:rPr>
          <w:rFonts w:eastAsia="Times New Roman" w:cs="Times New Roman"/>
          <w:b/>
          <w:color w:val="000000"/>
          <w:lang w:eastAsia="da-DK"/>
        </w:rPr>
      </w:pPr>
    </w:p>
    <w:p w14:paraId="49EA2523" w14:textId="77777777" w:rsidR="00FE499A" w:rsidRPr="00577043" w:rsidRDefault="00F9344C" w:rsidP="00CB2276">
      <w:pPr>
        <w:jc w:val="both"/>
        <w:rPr>
          <w:rFonts w:eastAsia="Times New Roman" w:cs="Times New Roman"/>
          <w:color w:val="000000"/>
          <w:lang w:eastAsia="da-DK"/>
        </w:rPr>
      </w:pPr>
      <w:r>
        <w:rPr>
          <w:rFonts w:eastAsia="Times New Roman" w:cs="Times New Roman"/>
          <w:b/>
          <w:color w:val="000000"/>
          <w:lang w:eastAsia="da-DK"/>
        </w:rPr>
        <w:t>7</w:t>
      </w:r>
      <w:r w:rsidR="008404A6" w:rsidRPr="00577043">
        <w:rPr>
          <w:rFonts w:eastAsia="Times New Roman" w:cs="Times New Roman"/>
          <w:b/>
          <w:color w:val="000000"/>
          <w:lang w:eastAsia="da-DK"/>
        </w:rPr>
        <w:t xml:space="preserve">. </w:t>
      </w:r>
      <w:r w:rsidR="00FE499A" w:rsidRPr="00EE35F6">
        <w:rPr>
          <w:rFonts w:eastAsia="Times New Roman" w:cs="Times New Roman"/>
          <w:i/>
          <w:color w:val="000000"/>
          <w:lang w:eastAsia="da-DK"/>
        </w:rPr>
        <w:t>§ 2, stk. 1, nr. 12</w:t>
      </w:r>
      <w:r w:rsidR="00143E34" w:rsidRPr="00577043">
        <w:rPr>
          <w:rFonts w:eastAsia="Times New Roman" w:cs="Times New Roman"/>
          <w:color w:val="000000"/>
          <w:lang w:eastAsia="da-DK"/>
        </w:rPr>
        <w:t>,</w:t>
      </w:r>
      <w:r w:rsidR="00FE499A" w:rsidRPr="00577043">
        <w:rPr>
          <w:rFonts w:eastAsia="Times New Roman" w:cs="Times New Roman"/>
          <w:color w:val="000000"/>
          <w:lang w:eastAsia="da-DK"/>
        </w:rPr>
        <w:t xml:space="preserve"> udgår.</w:t>
      </w:r>
    </w:p>
    <w:p w14:paraId="369F8DFA" w14:textId="77777777" w:rsidR="008B61B1" w:rsidRDefault="00EE35F6" w:rsidP="00CB2276">
      <w:pPr>
        <w:jc w:val="both"/>
        <w:rPr>
          <w:rFonts w:eastAsia="Times New Roman" w:cs="Times New Roman"/>
          <w:color w:val="000000"/>
          <w:lang w:eastAsia="da-DK"/>
        </w:rPr>
      </w:pPr>
      <w:r>
        <w:rPr>
          <w:rFonts w:eastAsia="Times New Roman" w:cs="Times New Roman"/>
          <w:color w:val="000000"/>
          <w:lang w:eastAsia="da-DK"/>
        </w:rPr>
        <w:t xml:space="preserve">    </w:t>
      </w:r>
      <w:r w:rsidR="00FE499A" w:rsidRPr="00577043">
        <w:rPr>
          <w:rFonts w:eastAsia="Times New Roman" w:cs="Times New Roman"/>
          <w:color w:val="000000"/>
          <w:lang w:eastAsia="da-DK"/>
        </w:rPr>
        <w:t>Nr. 12</w:t>
      </w:r>
      <w:r w:rsidR="00030BFE" w:rsidRPr="00577043">
        <w:rPr>
          <w:rFonts w:eastAsia="Times New Roman" w:cs="Times New Roman"/>
          <w:color w:val="000000"/>
          <w:lang w:eastAsia="da-DK"/>
        </w:rPr>
        <w:t>-</w:t>
      </w:r>
      <w:r w:rsidR="00FE499A" w:rsidRPr="00577043">
        <w:rPr>
          <w:rFonts w:eastAsia="Times New Roman" w:cs="Times New Roman"/>
          <w:color w:val="000000"/>
          <w:lang w:eastAsia="da-DK"/>
        </w:rPr>
        <w:t>17 bliver herefter nr. 11</w:t>
      </w:r>
      <w:r w:rsidR="00030BFE" w:rsidRPr="00577043">
        <w:rPr>
          <w:rFonts w:eastAsia="Times New Roman" w:cs="Times New Roman"/>
          <w:color w:val="000000"/>
          <w:lang w:eastAsia="da-DK"/>
        </w:rPr>
        <w:t>-</w:t>
      </w:r>
      <w:r w:rsidR="00FE499A" w:rsidRPr="00577043">
        <w:rPr>
          <w:rFonts w:eastAsia="Times New Roman" w:cs="Times New Roman"/>
          <w:color w:val="000000"/>
          <w:lang w:eastAsia="da-DK"/>
        </w:rPr>
        <w:t>15.</w:t>
      </w:r>
      <w:r w:rsidR="009934C6" w:rsidRPr="00577043">
        <w:rPr>
          <w:rFonts w:eastAsia="Times New Roman" w:cs="Times New Roman"/>
          <w:color w:val="000000"/>
          <w:lang w:eastAsia="da-DK"/>
        </w:rPr>
        <w:t xml:space="preserve">        </w:t>
      </w:r>
    </w:p>
    <w:p w14:paraId="221676A1" w14:textId="77777777" w:rsidR="008B61B1" w:rsidRDefault="008B61B1" w:rsidP="00CB2276">
      <w:pPr>
        <w:jc w:val="both"/>
        <w:rPr>
          <w:rFonts w:eastAsia="Times New Roman" w:cs="Times New Roman"/>
          <w:color w:val="000000"/>
          <w:lang w:eastAsia="da-DK"/>
        </w:rPr>
      </w:pPr>
    </w:p>
    <w:p w14:paraId="52D1CAEA" w14:textId="77777777" w:rsidR="00A70DB1" w:rsidRPr="00A70DB1" w:rsidRDefault="00DE30DD" w:rsidP="00CB2276">
      <w:pPr>
        <w:jc w:val="both"/>
        <w:rPr>
          <w:rFonts w:eastAsia="Times New Roman" w:cs="Times New Roman"/>
          <w:color w:val="000000"/>
          <w:lang w:eastAsia="da-DK"/>
        </w:rPr>
      </w:pPr>
      <w:r>
        <w:rPr>
          <w:rFonts w:eastAsia="Times New Roman" w:cs="Times New Roman"/>
          <w:b/>
          <w:color w:val="000000"/>
          <w:lang w:eastAsia="da-DK"/>
        </w:rPr>
        <w:t>8</w:t>
      </w:r>
      <w:bookmarkStart w:id="1" w:name="her"/>
      <w:bookmarkEnd w:id="1"/>
      <w:r w:rsidR="008B61B1" w:rsidRPr="008B61B1">
        <w:rPr>
          <w:rFonts w:eastAsia="Times New Roman" w:cs="Times New Roman"/>
          <w:b/>
          <w:color w:val="000000"/>
          <w:lang w:eastAsia="da-DK"/>
        </w:rPr>
        <w:t>.</w:t>
      </w:r>
      <w:r w:rsidR="008B61B1">
        <w:rPr>
          <w:rFonts w:eastAsia="Times New Roman" w:cs="Times New Roman"/>
          <w:b/>
          <w:color w:val="000000"/>
          <w:lang w:eastAsia="da-DK"/>
        </w:rPr>
        <w:t xml:space="preserve"> </w:t>
      </w:r>
      <w:r w:rsidR="008B61B1" w:rsidRPr="00EE35F6">
        <w:rPr>
          <w:rFonts w:eastAsia="Times New Roman" w:cs="Times New Roman"/>
          <w:i/>
          <w:color w:val="000000"/>
          <w:lang w:eastAsia="da-DK"/>
        </w:rPr>
        <w:t>§ 3, stk. 3</w:t>
      </w:r>
      <w:r w:rsidR="008B61B1" w:rsidRPr="008B61B1">
        <w:rPr>
          <w:rFonts w:eastAsia="Times New Roman" w:cs="Times New Roman"/>
          <w:color w:val="000000"/>
          <w:lang w:eastAsia="da-DK"/>
        </w:rPr>
        <w:t>,</w:t>
      </w:r>
      <w:r w:rsidR="008B61B1" w:rsidRPr="008B61B1">
        <w:rPr>
          <w:rFonts w:eastAsia="Times New Roman" w:cs="Times New Roman"/>
          <w:b/>
          <w:color w:val="000000"/>
          <w:lang w:eastAsia="da-DK"/>
        </w:rPr>
        <w:t xml:space="preserve"> </w:t>
      </w:r>
      <w:r w:rsidR="008B61B1" w:rsidRPr="00A70DB1">
        <w:rPr>
          <w:rFonts w:eastAsia="Times New Roman" w:cs="Times New Roman"/>
          <w:color w:val="000000"/>
          <w:lang w:eastAsia="da-DK"/>
        </w:rPr>
        <w:t>af</w:t>
      </w:r>
      <w:r w:rsidR="00A70DB1" w:rsidRPr="00A70DB1">
        <w:rPr>
          <w:rFonts w:eastAsia="Times New Roman" w:cs="Times New Roman"/>
          <w:color w:val="000000"/>
          <w:lang w:eastAsia="da-DK"/>
        </w:rPr>
        <w:t>fa</w:t>
      </w:r>
      <w:r w:rsidR="008B61B1" w:rsidRPr="00A70DB1">
        <w:rPr>
          <w:rFonts w:eastAsia="Times New Roman" w:cs="Times New Roman"/>
          <w:color w:val="000000"/>
          <w:lang w:eastAsia="da-DK"/>
        </w:rPr>
        <w:t>ttes</w:t>
      </w:r>
      <w:r w:rsidR="00A70DB1" w:rsidRPr="00A70DB1">
        <w:rPr>
          <w:rFonts w:eastAsia="Times New Roman" w:cs="Times New Roman"/>
          <w:color w:val="000000"/>
          <w:lang w:eastAsia="da-DK"/>
        </w:rPr>
        <w:t xml:space="preserve"> således:</w:t>
      </w:r>
    </w:p>
    <w:p w14:paraId="55625756" w14:textId="77777777" w:rsidR="001764AF" w:rsidRDefault="00291913" w:rsidP="001764AF">
      <w:pPr>
        <w:rPr>
          <w:rFonts w:eastAsia="Times New Roman" w:cs="Times New Roman"/>
          <w:color w:val="000000"/>
          <w:lang w:eastAsia="da-DK"/>
        </w:rPr>
      </w:pPr>
      <w:r>
        <w:rPr>
          <w:rFonts w:eastAsia="Times New Roman" w:cs="Times New Roman"/>
          <w:color w:val="000000"/>
          <w:lang w:eastAsia="da-DK"/>
        </w:rPr>
        <w:t>”</w:t>
      </w:r>
      <w:r w:rsidR="008E2E51">
        <w:rPr>
          <w:rFonts w:eastAsia="Times New Roman" w:cs="Times New Roman"/>
          <w:color w:val="000000"/>
          <w:lang w:eastAsia="da-DK"/>
        </w:rPr>
        <w:t xml:space="preserve">Samtykket </w:t>
      </w:r>
      <w:r w:rsidR="001764AF" w:rsidRPr="00577043">
        <w:rPr>
          <w:rFonts w:eastAsia="Times New Roman" w:cs="Times New Roman"/>
          <w:color w:val="000000"/>
          <w:lang w:eastAsia="da-DK"/>
        </w:rPr>
        <w:t xml:space="preserve">giver </w:t>
      </w:r>
      <w:r w:rsidR="001764AF">
        <w:rPr>
          <w:rFonts w:eastAsia="Times New Roman" w:cs="Times New Roman"/>
          <w:color w:val="000000"/>
          <w:lang w:eastAsia="da-DK"/>
        </w:rPr>
        <w:t>sponsor og sponsors repræsentanter adgang til at indhente oplysninger i</w:t>
      </w:r>
      <w:r w:rsidR="001764AF" w:rsidRPr="00577043">
        <w:rPr>
          <w:rFonts w:eastAsia="Times New Roman" w:cs="Times New Roman"/>
          <w:color w:val="000000"/>
          <w:lang w:eastAsia="da-DK"/>
        </w:rPr>
        <w:t xml:space="preserve"> patientjournaler m</w:t>
      </w:r>
      <w:r w:rsidR="00094421">
        <w:rPr>
          <w:rFonts w:eastAsia="Times New Roman" w:cs="Times New Roman"/>
          <w:color w:val="000000"/>
          <w:lang w:eastAsia="da-DK"/>
        </w:rPr>
        <w:t>.</w:t>
      </w:r>
      <w:r w:rsidR="001764AF" w:rsidRPr="00577043">
        <w:rPr>
          <w:rFonts w:eastAsia="Times New Roman" w:cs="Times New Roman"/>
          <w:color w:val="000000"/>
          <w:lang w:eastAsia="da-DK"/>
        </w:rPr>
        <w:t>v.</w:t>
      </w:r>
      <w:r w:rsidR="001764AF">
        <w:rPr>
          <w:rFonts w:eastAsia="Times New Roman" w:cs="Times New Roman"/>
          <w:color w:val="000000"/>
          <w:lang w:eastAsia="da-DK"/>
        </w:rPr>
        <w:t>, heru</w:t>
      </w:r>
      <w:r w:rsidR="00E94F14">
        <w:rPr>
          <w:rFonts w:eastAsia="Times New Roman" w:cs="Times New Roman"/>
          <w:color w:val="000000"/>
          <w:lang w:eastAsia="da-DK"/>
        </w:rPr>
        <w:t xml:space="preserve">nder </w:t>
      </w:r>
      <w:r w:rsidR="001764AF">
        <w:rPr>
          <w:rFonts w:eastAsia="Times New Roman" w:cs="Times New Roman"/>
          <w:color w:val="000000"/>
          <w:lang w:eastAsia="da-DK"/>
        </w:rPr>
        <w:t>elektroniske journaler, med henblik på at se oplysninger</w:t>
      </w:r>
      <w:r w:rsidR="001764AF" w:rsidRPr="00577043">
        <w:rPr>
          <w:rFonts w:eastAsia="Times New Roman" w:cs="Times New Roman"/>
          <w:color w:val="000000"/>
          <w:lang w:eastAsia="da-DK"/>
        </w:rPr>
        <w:t xml:space="preserve"> om forsøgspersonens helbredsforhold, som er nødvendige som led i egenkontrol med forskningsprojektet, herunder kvalitetskontrol og monitorering, som disse er forpligtet til at udføre. </w:t>
      </w:r>
      <w:r w:rsidR="001764AF">
        <w:rPr>
          <w:rFonts w:eastAsia="Times New Roman" w:cs="Times New Roman"/>
          <w:color w:val="000000"/>
          <w:lang w:eastAsia="da-DK"/>
        </w:rPr>
        <w:t>”</w:t>
      </w:r>
    </w:p>
    <w:p w14:paraId="38BD6066" w14:textId="77777777" w:rsidR="00291913" w:rsidRPr="00577043" w:rsidRDefault="00291913" w:rsidP="00291913">
      <w:pPr>
        <w:jc w:val="both"/>
        <w:rPr>
          <w:rFonts w:eastAsia="Times New Roman" w:cs="Times New Roman"/>
          <w:color w:val="000000"/>
          <w:lang w:eastAsia="da-DK"/>
        </w:rPr>
      </w:pPr>
    </w:p>
    <w:p w14:paraId="542800F2" w14:textId="77777777" w:rsidR="004C4249" w:rsidRPr="008B61B1" w:rsidRDefault="009934C6" w:rsidP="00CB2276">
      <w:pPr>
        <w:jc w:val="both"/>
        <w:rPr>
          <w:rFonts w:eastAsia="Times New Roman" w:cs="Times New Roman"/>
          <w:b/>
          <w:color w:val="000000"/>
          <w:lang w:eastAsia="da-DK"/>
        </w:rPr>
      </w:pPr>
      <w:r w:rsidRPr="00A70DB1">
        <w:rPr>
          <w:rFonts w:eastAsia="Times New Roman" w:cs="Times New Roman"/>
          <w:color w:val="000000"/>
          <w:lang w:eastAsia="da-DK"/>
        </w:rPr>
        <w:t xml:space="preserve">           </w:t>
      </w:r>
      <w:r w:rsidRPr="008B61B1">
        <w:rPr>
          <w:rFonts w:eastAsia="Times New Roman" w:cs="Times New Roman"/>
          <w:b/>
          <w:color w:val="000000"/>
          <w:lang w:eastAsia="da-DK"/>
        </w:rPr>
        <w:t xml:space="preserve">                                                                                                                                                                                                                                                                                                                                                                                                                                                                                                                                                                                                                                                                                                                                                                                                                                                                                                                                                                                                                                                                                                                                                                                                                                                                                                                                                                                                                                                                                                     </w:t>
      </w:r>
    </w:p>
    <w:p w14:paraId="1DB9203A" w14:textId="77777777" w:rsidR="00A138B8" w:rsidRPr="00577043" w:rsidRDefault="00A138B8" w:rsidP="00CB2276">
      <w:pPr>
        <w:rPr>
          <w:rFonts w:eastAsia="Times New Roman" w:cs="Times New Roman"/>
          <w:b/>
          <w:color w:val="000000"/>
          <w:lang w:eastAsia="da-DK"/>
        </w:rPr>
      </w:pPr>
    </w:p>
    <w:p w14:paraId="62162284" w14:textId="77777777" w:rsidR="003E0465" w:rsidRPr="00577043" w:rsidRDefault="00F9344C" w:rsidP="004D3553">
      <w:pPr>
        <w:rPr>
          <w:rFonts w:eastAsia="Times New Roman" w:cs="Times New Roman"/>
          <w:color w:val="000000"/>
          <w:lang w:eastAsia="da-DK"/>
        </w:rPr>
      </w:pPr>
      <w:r>
        <w:rPr>
          <w:rFonts w:eastAsia="Times New Roman" w:cs="Times New Roman"/>
          <w:b/>
          <w:color w:val="000000"/>
          <w:lang w:eastAsia="da-DK"/>
        </w:rPr>
        <w:t>9</w:t>
      </w:r>
      <w:r w:rsidR="009F4033" w:rsidRPr="00577043">
        <w:rPr>
          <w:rFonts w:eastAsia="Times New Roman" w:cs="Times New Roman"/>
          <w:b/>
          <w:color w:val="000000"/>
          <w:lang w:eastAsia="da-DK"/>
        </w:rPr>
        <w:t>.</w:t>
      </w:r>
      <w:r w:rsidR="009F4033" w:rsidRPr="00577043">
        <w:rPr>
          <w:rFonts w:eastAsia="Times New Roman" w:cs="Times New Roman"/>
          <w:color w:val="000000"/>
          <w:lang w:eastAsia="da-DK"/>
        </w:rPr>
        <w:t xml:space="preserve"> </w:t>
      </w:r>
      <w:r w:rsidR="00D82B20" w:rsidRPr="00577043">
        <w:rPr>
          <w:rFonts w:eastAsia="Times New Roman" w:cs="Times New Roman"/>
          <w:b/>
          <w:color w:val="000000"/>
          <w:lang w:eastAsia="da-DK"/>
        </w:rPr>
        <w:t xml:space="preserve"> </w:t>
      </w:r>
      <w:r w:rsidR="009F4033" w:rsidRPr="00577043">
        <w:rPr>
          <w:rFonts w:eastAsia="Times New Roman" w:cs="Times New Roman"/>
          <w:color w:val="000000"/>
          <w:lang w:eastAsia="da-DK"/>
        </w:rPr>
        <w:t xml:space="preserve">I </w:t>
      </w:r>
      <w:r w:rsidR="003E0465" w:rsidRPr="0045292C">
        <w:rPr>
          <w:rFonts w:eastAsia="Times New Roman" w:cs="Times New Roman"/>
          <w:i/>
          <w:color w:val="000000"/>
          <w:lang w:eastAsia="da-DK"/>
        </w:rPr>
        <w:t>§ 4, stk. 1</w:t>
      </w:r>
      <w:r w:rsidR="003E0465" w:rsidRPr="00577043">
        <w:rPr>
          <w:rFonts w:eastAsia="Times New Roman" w:cs="Times New Roman"/>
          <w:color w:val="000000"/>
          <w:lang w:eastAsia="da-DK"/>
        </w:rPr>
        <w:t>, indsættes efter ”indehaver”: ”,</w:t>
      </w:r>
      <w:r w:rsidR="002D5B65" w:rsidRPr="00577043">
        <w:rPr>
          <w:rFonts w:eastAsia="Times New Roman" w:cs="Times New Roman"/>
          <w:color w:val="000000"/>
          <w:lang w:eastAsia="da-DK"/>
        </w:rPr>
        <w:t xml:space="preserve"> </w:t>
      </w:r>
      <w:r w:rsidR="003E0465" w:rsidRPr="00577043">
        <w:rPr>
          <w:rFonts w:eastAsia="Times New Roman" w:cs="Times New Roman"/>
          <w:color w:val="000000"/>
          <w:lang w:eastAsia="da-DK"/>
        </w:rPr>
        <w:t xml:space="preserve">jf. dog § 4 a,” </w:t>
      </w:r>
    </w:p>
    <w:p w14:paraId="06370CCE" w14:textId="77777777" w:rsidR="003E0465" w:rsidRPr="00577043" w:rsidRDefault="003E0465" w:rsidP="004D3553">
      <w:pPr>
        <w:rPr>
          <w:rFonts w:eastAsia="Times New Roman" w:cs="Times New Roman"/>
          <w:color w:val="000000"/>
          <w:lang w:eastAsia="da-DK"/>
        </w:rPr>
      </w:pPr>
    </w:p>
    <w:p w14:paraId="08F2EF11" w14:textId="77777777" w:rsidR="005511A5" w:rsidRPr="00577043" w:rsidRDefault="00F9344C" w:rsidP="004D3553">
      <w:pPr>
        <w:rPr>
          <w:rFonts w:eastAsia="Times New Roman" w:cs="Times New Roman"/>
          <w:color w:val="000000"/>
          <w:lang w:eastAsia="da-DK"/>
        </w:rPr>
      </w:pPr>
      <w:r>
        <w:rPr>
          <w:rFonts w:eastAsia="Times New Roman" w:cs="Times New Roman"/>
          <w:b/>
          <w:color w:val="000000"/>
          <w:lang w:eastAsia="da-DK"/>
        </w:rPr>
        <w:t>10</w:t>
      </w:r>
      <w:r w:rsidR="003E0465" w:rsidRPr="00577043">
        <w:rPr>
          <w:rFonts w:eastAsia="Times New Roman" w:cs="Times New Roman"/>
          <w:b/>
          <w:color w:val="000000"/>
          <w:lang w:eastAsia="da-DK"/>
        </w:rPr>
        <w:t>.</w:t>
      </w:r>
      <w:r w:rsidR="005511A5" w:rsidRPr="00577043">
        <w:rPr>
          <w:rFonts w:eastAsia="Times New Roman" w:cs="Times New Roman"/>
          <w:b/>
          <w:color w:val="000000"/>
          <w:lang w:eastAsia="da-DK"/>
        </w:rPr>
        <w:t xml:space="preserve"> </w:t>
      </w:r>
      <w:r w:rsidR="005511A5" w:rsidRPr="0045292C">
        <w:rPr>
          <w:rFonts w:eastAsia="Times New Roman" w:cs="Times New Roman"/>
          <w:i/>
          <w:color w:val="000000"/>
          <w:lang w:eastAsia="da-DK"/>
        </w:rPr>
        <w:t>§ 4, stk. 3</w:t>
      </w:r>
      <w:r w:rsidR="005511A5" w:rsidRPr="00577043">
        <w:rPr>
          <w:rFonts w:eastAsia="Times New Roman" w:cs="Times New Roman"/>
          <w:color w:val="000000"/>
          <w:lang w:eastAsia="da-DK"/>
        </w:rPr>
        <w:t>, affattes således:</w:t>
      </w:r>
    </w:p>
    <w:p w14:paraId="6ACA0370" w14:textId="77777777" w:rsidR="005511A5" w:rsidRPr="00577043" w:rsidRDefault="005511A5" w:rsidP="004D3553">
      <w:pPr>
        <w:rPr>
          <w:rFonts w:eastAsia="Times New Roman" w:cs="Times New Roman"/>
          <w:color w:val="000000"/>
          <w:lang w:eastAsia="da-DK"/>
        </w:rPr>
      </w:pPr>
      <w:r w:rsidRPr="00577043">
        <w:rPr>
          <w:rFonts w:eastAsia="Times New Roman" w:cs="Times New Roman"/>
          <w:color w:val="000000"/>
          <w:lang w:eastAsia="da-DK"/>
        </w:rPr>
        <w:t xml:space="preserve"> ”Stedfortrædende samtykke på vegne af øvrige voksne inhabile forsøgspersoner skal gives af den nærmeste pårørende og forsøgsværge</w:t>
      </w:r>
      <w:r w:rsidR="00824DB3" w:rsidRPr="00577043">
        <w:rPr>
          <w:rFonts w:eastAsia="Times New Roman" w:cs="Times New Roman"/>
          <w:color w:val="000000"/>
          <w:lang w:eastAsia="da-DK"/>
        </w:rPr>
        <w:t xml:space="preserve">n. Forsøgsværgen </w:t>
      </w:r>
      <w:r w:rsidRPr="00577043">
        <w:rPr>
          <w:rFonts w:eastAsia="Times New Roman" w:cs="Times New Roman"/>
          <w:color w:val="000000"/>
          <w:lang w:eastAsia="da-DK"/>
        </w:rPr>
        <w:t>er en læge</w:t>
      </w:r>
      <w:r w:rsidR="00824DB3" w:rsidRPr="00577043">
        <w:rPr>
          <w:rFonts w:eastAsia="Times New Roman" w:cs="Times New Roman"/>
          <w:color w:val="000000"/>
          <w:lang w:eastAsia="da-DK"/>
        </w:rPr>
        <w:t>, som er</w:t>
      </w:r>
      <w:r w:rsidRPr="00577043">
        <w:rPr>
          <w:rFonts w:eastAsia="Times New Roman" w:cs="Times New Roman"/>
          <w:color w:val="000000"/>
          <w:lang w:eastAsia="da-DK"/>
        </w:rPr>
        <w:t xml:space="preserve"> uafhængig af den forsøgsansvarliges interesser og af interesser i </w:t>
      </w:r>
      <w:r w:rsidR="00824DB3" w:rsidRPr="00577043">
        <w:rPr>
          <w:rFonts w:eastAsia="Times New Roman" w:cs="Times New Roman"/>
          <w:color w:val="000000"/>
          <w:lang w:eastAsia="da-DK"/>
        </w:rPr>
        <w:t>forskningsprojektet</w:t>
      </w:r>
      <w:r w:rsidRPr="00577043">
        <w:rPr>
          <w:rFonts w:eastAsia="Times New Roman" w:cs="Times New Roman"/>
          <w:color w:val="000000"/>
          <w:lang w:eastAsia="da-DK"/>
        </w:rPr>
        <w:t xml:space="preserve"> i øvrigt</w:t>
      </w:r>
      <w:r w:rsidR="00824DB3" w:rsidRPr="00577043">
        <w:rPr>
          <w:rFonts w:eastAsia="Times New Roman" w:cs="Times New Roman"/>
          <w:color w:val="000000"/>
          <w:lang w:eastAsia="da-DK"/>
        </w:rPr>
        <w:t>.</w:t>
      </w:r>
      <w:r w:rsidRPr="00577043">
        <w:rPr>
          <w:rFonts w:eastAsia="Times New Roman" w:cs="Times New Roman"/>
          <w:color w:val="000000"/>
          <w:lang w:eastAsia="da-DK"/>
        </w:rPr>
        <w:t>”</w:t>
      </w:r>
    </w:p>
    <w:p w14:paraId="62F2DC97" w14:textId="77777777" w:rsidR="005511A5" w:rsidRPr="00577043" w:rsidRDefault="003E0465" w:rsidP="004D3553">
      <w:pPr>
        <w:rPr>
          <w:rFonts w:eastAsia="Times New Roman" w:cs="Times New Roman"/>
          <w:b/>
          <w:color w:val="000000"/>
          <w:lang w:eastAsia="da-DK"/>
        </w:rPr>
      </w:pPr>
      <w:r w:rsidRPr="00577043">
        <w:rPr>
          <w:rFonts w:eastAsia="Times New Roman" w:cs="Times New Roman"/>
          <w:b/>
          <w:color w:val="000000"/>
          <w:lang w:eastAsia="da-DK"/>
        </w:rPr>
        <w:t xml:space="preserve"> </w:t>
      </w:r>
    </w:p>
    <w:p w14:paraId="1A058545" w14:textId="77777777" w:rsidR="004D3553" w:rsidRPr="00577043" w:rsidRDefault="00F9344C" w:rsidP="004D3553">
      <w:pPr>
        <w:rPr>
          <w:rFonts w:eastAsia="Times New Roman" w:cs="Times New Roman"/>
          <w:color w:val="000000"/>
          <w:lang w:eastAsia="da-DK"/>
        </w:rPr>
      </w:pPr>
      <w:r>
        <w:rPr>
          <w:rFonts w:eastAsia="Times New Roman" w:cs="Times New Roman"/>
          <w:b/>
          <w:color w:val="000000"/>
          <w:lang w:eastAsia="da-DK"/>
        </w:rPr>
        <w:t>11</w:t>
      </w:r>
      <w:r w:rsidR="005511A5" w:rsidRPr="00577043">
        <w:rPr>
          <w:rFonts w:eastAsia="Times New Roman" w:cs="Times New Roman"/>
          <w:b/>
          <w:color w:val="000000"/>
          <w:lang w:eastAsia="da-DK"/>
        </w:rPr>
        <w:t>.</w:t>
      </w:r>
      <w:r w:rsidR="005511A5" w:rsidRPr="00577043">
        <w:rPr>
          <w:rFonts w:eastAsia="Times New Roman" w:cs="Times New Roman"/>
          <w:color w:val="000000"/>
          <w:lang w:eastAsia="da-DK"/>
        </w:rPr>
        <w:t xml:space="preserve"> </w:t>
      </w:r>
      <w:r w:rsidR="00B94F73" w:rsidRPr="00577043">
        <w:rPr>
          <w:rFonts w:eastAsia="Times New Roman" w:cs="Times New Roman"/>
          <w:color w:val="000000"/>
          <w:lang w:eastAsia="da-DK"/>
        </w:rPr>
        <w:t xml:space="preserve">Efter </w:t>
      </w:r>
      <w:r w:rsidR="009F4033" w:rsidRPr="00577043">
        <w:rPr>
          <w:rFonts w:eastAsia="Times New Roman" w:cs="Times New Roman"/>
          <w:color w:val="000000"/>
          <w:lang w:eastAsia="da-DK"/>
        </w:rPr>
        <w:t>§ 4 indsættes:</w:t>
      </w:r>
      <w:r w:rsidR="004D3553" w:rsidRPr="00577043">
        <w:rPr>
          <w:rFonts w:eastAsia="Times New Roman" w:cs="Times New Roman"/>
          <w:color w:val="000000"/>
          <w:lang w:eastAsia="da-DK"/>
        </w:rPr>
        <w:t xml:space="preserve"> </w:t>
      </w:r>
    </w:p>
    <w:p w14:paraId="60D65792" w14:textId="77777777" w:rsidR="004D3553" w:rsidRPr="00577043" w:rsidRDefault="004D3553" w:rsidP="004D3553">
      <w:pPr>
        <w:rPr>
          <w:rFonts w:eastAsia="Times New Roman" w:cs="Times New Roman"/>
          <w:color w:val="000000"/>
          <w:lang w:eastAsia="da-DK"/>
        </w:rPr>
      </w:pPr>
      <w:r w:rsidRPr="00577043">
        <w:rPr>
          <w:rFonts w:eastAsia="Times New Roman" w:cs="Times New Roman"/>
          <w:color w:val="000000"/>
          <w:lang w:eastAsia="da-DK"/>
        </w:rPr>
        <w:t xml:space="preserve">   ”</w:t>
      </w:r>
      <w:r w:rsidR="00F42493" w:rsidRPr="00577043">
        <w:rPr>
          <w:rFonts w:eastAsia="Times New Roman" w:cs="Times New Roman"/>
          <w:b/>
          <w:color w:val="000000"/>
          <w:lang w:eastAsia="da-DK"/>
        </w:rPr>
        <w:t>§ 4 a</w:t>
      </w:r>
      <w:r w:rsidR="003E0465" w:rsidRPr="00577043">
        <w:rPr>
          <w:rFonts w:eastAsia="Times New Roman" w:cs="Times New Roman"/>
          <w:b/>
          <w:color w:val="000000"/>
          <w:lang w:eastAsia="da-DK"/>
        </w:rPr>
        <w:t xml:space="preserve">. </w:t>
      </w:r>
      <w:r w:rsidRPr="00577043">
        <w:rPr>
          <w:rFonts w:eastAsia="Times New Roman" w:cs="Times New Roman"/>
          <w:color w:val="000000"/>
          <w:lang w:eastAsia="da-DK"/>
        </w:rPr>
        <w:t>Et klinisk forsøg må kun gennemføres på en forsøgsperson, der er fyldt 15 år, men ikke myndig, såfremt forsøgspersonen tillige med forældremyndighedens indehaver giver samtykke hertil</w:t>
      </w:r>
      <w:r w:rsidR="003E0465" w:rsidRPr="00577043">
        <w:rPr>
          <w:rFonts w:eastAsia="Times New Roman" w:cs="Times New Roman"/>
          <w:color w:val="000000"/>
          <w:lang w:eastAsia="da-DK"/>
        </w:rPr>
        <w:t>, jf. § 4, stk. 1</w:t>
      </w:r>
      <w:r w:rsidRPr="00577043">
        <w:rPr>
          <w:rFonts w:eastAsia="Times New Roman" w:cs="Times New Roman"/>
          <w:color w:val="000000"/>
          <w:lang w:eastAsia="da-DK"/>
        </w:rPr>
        <w:t>.”</w:t>
      </w:r>
    </w:p>
    <w:p w14:paraId="19EA5C06" w14:textId="77777777" w:rsidR="00E34176" w:rsidRPr="00577043" w:rsidRDefault="00E34176" w:rsidP="004D3553">
      <w:pPr>
        <w:rPr>
          <w:rFonts w:eastAsia="Times New Roman" w:cs="Times New Roman"/>
          <w:color w:val="000000"/>
          <w:lang w:eastAsia="da-DK"/>
        </w:rPr>
      </w:pPr>
    </w:p>
    <w:p w14:paraId="4ED91FCE" w14:textId="77777777" w:rsidR="00E34176" w:rsidRPr="00577043" w:rsidRDefault="00F9344C" w:rsidP="004D3553">
      <w:pPr>
        <w:rPr>
          <w:rFonts w:eastAsia="Times New Roman" w:cs="Times New Roman"/>
          <w:b/>
          <w:color w:val="000000"/>
          <w:lang w:eastAsia="da-DK"/>
        </w:rPr>
      </w:pPr>
      <w:r>
        <w:rPr>
          <w:rFonts w:eastAsia="Times New Roman" w:cs="Times New Roman"/>
          <w:b/>
          <w:color w:val="000000"/>
          <w:lang w:eastAsia="da-DK"/>
        </w:rPr>
        <w:t>12</w:t>
      </w:r>
      <w:r w:rsidR="00E34176" w:rsidRPr="00577043">
        <w:rPr>
          <w:rFonts w:eastAsia="Times New Roman" w:cs="Times New Roman"/>
          <w:b/>
          <w:color w:val="000000"/>
          <w:lang w:eastAsia="da-DK"/>
        </w:rPr>
        <w:t xml:space="preserve">. </w:t>
      </w:r>
      <w:r w:rsidR="00E34176" w:rsidRPr="00577043">
        <w:rPr>
          <w:rFonts w:eastAsia="Times New Roman" w:cs="Times New Roman"/>
          <w:color w:val="000000"/>
          <w:lang w:eastAsia="da-DK"/>
        </w:rPr>
        <w:t xml:space="preserve">I </w:t>
      </w:r>
      <w:r w:rsidR="00E34176" w:rsidRPr="0045292C">
        <w:rPr>
          <w:rFonts w:eastAsia="Times New Roman" w:cs="Times New Roman"/>
          <w:i/>
          <w:color w:val="000000"/>
          <w:lang w:eastAsia="da-DK"/>
        </w:rPr>
        <w:t>§ 9, stk. 1</w:t>
      </w:r>
      <w:r w:rsidR="00E34176" w:rsidRPr="00577043">
        <w:rPr>
          <w:rFonts w:eastAsia="Times New Roman" w:cs="Times New Roman"/>
          <w:color w:val="000000"/>
          <w:lang w:eastAsia="da-DK"/>
        </w:rPr>
        <w:t>, indsættes efter ”informeret samtykke”: ”, jf. stk. § 4 a”.</w:t>
      </w:r>
    </w:p>
    <w:p w14:paraId="7AA60291" w14:textId="77777777" w:rsidR="004D3553" w:rsidRPr="00577043" w:rsidRDefault="004D3553" w:rsidP="00CB2276">
      <w:pPr>
        <w:rPr>
          <w:rFonts w:eastAsia="Times New Roman" w:cs="Times New Roman"/>
          <w:color w:val="000000"/>
          <w:lang w:eastAsia="da-DK"/>
        </w:rPr>
      </w:pPr>
    </w:p>
    <w:p w14:paraId="4DBD619F" w14:textId="77777777" w:rsidR="001C54E7" w:rsidRPr="00577043" w:rsidRDefault="00F9344C" w:rsidP="00CB2276">
      <w:pPr>
        <w:rPr>
          <w:rFonts w:eastAsia="Times New Roman" w:cs="Times New Roman"/>
          <w:color w:val="000000"/>
          <w:lang w:eastAsia="da-DK"/>
        </w:rPr>
      </w:pPr>
      <w:r>
        <w:rPr>
          <w:rFonts w:eastAsia="Times New Roman" w:cs="Times New Roman"/>
          <w:b/>
          <w:color w:val="000000"/>
          <w:lang w:eastAsia="da-DK"/>
        </w:rPr>
        <w:t>13</w:t>
      </w:r>
      <w:r w:rsidR="00E55580" w:rsidRPr="00577043">
        <w:rPr>
          <w:rFonts w:eastAsia="Times New Roman" w:cs="Times New Roman"/>
          <w:b/>
          <w:color w:val="000000"/>
          <w:lang w:eastAsia="da-DK"/>
        </w:rPr>
        <w:t>.</w:t>
      </w:r>
      <w:r w:rsidR="00E55580" w:rsidRPr="00577043">
        <w:rPr>
          <w:rFonts w:eastAsia="Times New Roman" w:cs="Times New Roman"/>
          <w:color w:val="000000"/>
          <w:lang w:eastAsia="da-DK"/>
        </w:rPr>
        <w:t xml:space="preserve"> I </w:t>
      </w:r>
      <w:r w:rsidR="00E55580" w:rsidRPr="0045292C">
        <w:rPr>
          <w:rFonts w:eastAsia="Times New Roman" w:cs="Times New Roman"/>
          <w:i/>
          <w:color w:val="000000"/>
          <w:lang w:eastAsia="da-DK"/>
        </w:rPr>
        <w:t>§ 11, stk. 1</w:t>
      </w:r>
      <w:r w:rsidR="00E55580" w:rsidRPr="00577043">
        <w:rPr>
          <w:rFonts w:eastAsia="Times New Roman" w:cs="Times New Roman"/>
          <w:color w:val="000000"/>
          <w:lang w:eastAsia="da-DK"/>
        </w:rPr>
        <w:t>, udgår</w:t>
      </w:r>
      <w:r w:rsidR="00265218" w:rsidRPr="00577043">
        <w:rPr>
          <w:rFonts w:eastAsia="Times New Roman" w:cs="Times New Roman"/>
          <w:color w:val="000000"/>
          <w:lang w:eastAsia="da-DK"/>
        </w:rPr>
        <w:t>:</w:t>
      </w:r>
      <w:r w:rsidR="00E55580" w:rsidRPr="00577043">
        <w:rPr>
          <w:rFonts w:eastAsia="Times New Roman" w:cs="Times New Roman"/>
          <w:color w:val="000000"/>
          <w:lang w:eastAsia="da-DK"/>
        </w:rPr>
        <w:t xml:space="preserve"> ”der ikke angår kliniske forøg med lægemidler,”.</w:t>
      </w:r>
    </w:p>
    <w:p w14:paraId="7556EECB" w14:textId="77777777" w:rsidR="00A138B8" w:rsidRPr="00577043" w:rsidRDefault="00A138B8" w:rsidP="00CB2276">
      <w:pPr>
        <w:rPr>
          <w:rFonts w:eastAsia="Times New Roman" w:cs="Times New Roman"/>
          <w:b/>
          <w:color w:val="000000"/>
          <w:lang w:eastAsia="da-DK"/>
        </w:rPr>
      </w:pPr>
    </w:p>
    <w:p w14:paraId="2313E061" w14:textId="77777777" w:rsidR="00E55580" w:rsidRPr="00577043" w:rsidRDefault="00F9344C" w:rsidP="00CB2276">
      <w:pPr>
        <w:rPr>
          <w:rFonts w:eastAsia="Times New Roman" w:cs="Times New Roman"/>
          <w:color w:val="000000"/>
          <w:lang w:eastAsia="da-DK"/>
        </w:rPr>
      </w:pPr>
      <w:r>
        <w:rPr>
          <w:rFonts w:eastAsia="Times New Roman" w:cs="Times New Roman"/>
          <w:b/>
          <w:color w:val="000000"/>
          <w:lang w:eastAsia="da-DK"/>
        </w:rPr>
        <w:t>14</w:t>
      </w:r>
      <w:r w:rsidR="00E55580" w:rsidRPr="00577043">
        <w:rPr>
          <w:rFonts w:eastAsia="Times New Roman" w:cs="Times New Roman"/>
          <w:b/>
          <w:color w:val="000000"/>
          <w:lang w:eastAsia="da-DK"/>
        </w:rPr>
        <w:t xml:space="preserve">. </w:t>
      </w:r>
      <w:r w:rsidR="00E55580" w:rsidRPr="00984FB8">
        <w:rPr>
          <w:rFonts w:eastAsia="Times New Roman" w:cs="Times New Roman"/>
          <w:i/>
          <w:color w:val="000000"/>
          <w:lang w:eastAsia="da-DK"/>
        </w:rPr>
        <w:t>§ 12</w:t>
      </w:r>
      <w:r w:rsidR="00E55580" w:rsidRPr="00577043">
        <w:rPr>
          <w:rFonts w:eastAsia="Times New Roman" w:cs="Times New Roman"/>
          <w:color w:val="000000"/>
          <w:lang w:eastAsia="da-DK"/>
        </w:rPr>
        <w:t xml:space="preserve"> </w:t>
      </w:r>
      <w:r w:rsidR="00265218" w:rsidRPr="00577043">
        <w:rPr>
          <w:rFonts w:eastAsia="Times New Roman" w:cs="Times New Roman"/>
          <w:color w:val="000000"/>
          <w:lang w:eastAsia="da-DK"/>
        </w:rPr>
        <w:t>ophæves</w:t>
      </w:r>
      <w:r w:rsidR="00E55580" w:rsidRPr="00577043">
        <w:rPr>
          <w:rFonts w:eastAsia="Times New Roman" w:cs="Times New Roman"/>
          <w:color w:val="000000"/>
          <w:lang w:eastAsia="da-DK"/>
        </w:rPr>
        <w:t>.</w:t>
      </w:r>
    </w:p>
    <w:p w14:paraId="4C939BD0" w14:textId="77777777" w:rsidR="00A138B8" w:rsidRPr="00577043" w:rsidRDefault="00A138B8" w:rsidP="00CB2276">
      <w:pPr>
        <w:rPr>
          <w:rFonts w:eastAsia="Times New Roman" w:cs="Times New Roman"/>
          <w:b/>
          <w:color w:val="000000"/>
          <w:lang w:eastAsia="da-DK"/>
        </w:rPr>
      </w:pPr>
    </w:p>
    <w:p w14:paraId="55CD6BB4" w14:textId="77777777" w:rsidR="006A36A3" w:rsidRPr="00577043" w:rsidRDefault="00F9344C" w:rsidP="00CB2276">
      <w:pPr>
        <w:rPr>
          <w:rFonts w:eastAsia="Times New Roman" w:cs="Times New Roman"/>
          <w:color w:val="000000"/>
          <w:lang w:eastAsia="da-DK"/>
        </w:rPr>
      </w:pPr>
      <w:r>
        <w:rPr>
          <w:rFonts w:eastAsia="Times New Roman" w:cs="Times New Roman"/>
          <w:b/>
          <w:color w:val="000000"/>
          <w:lang w:eastAsia="da-DK"/>
        </w:rPr>
        <w:t>15</w:t>
      </w:r>
      <w:r w:rsidR="006A36A3" w:rsidRPr="00577043">
        <w:rPr>
          <w:rFonts w:eastAsia="Times New Roman" w:cs="Times New Roman"/>
          <w:b/>
          <w:color w:val="000000"/>
          <w:lang w:eastAsia="da-DK"/>
        </w:rPr>
        <w:t>.</w:t>
      </w:r>
      <w:r w:rsidR="006A36A3" w:rsidRPr="00577043">
        <w:rPr>
          <w:rFonts w:eastAsia="Times New Roman" w:cs="Times New Roman"/>
          <w:color w:val="000000"/>
          <w:lang w:eastAsia="da-DK"/>
        </w:rPr>
        <w:t xml:space="preserve"> </w:t>
      </w:r>
      <w:r w:rsidR="006A36A3" w:rsidRPr="00984FB8">
        <w:rPr>
          <w:rFonts w:eastAsia="Times New Roman" w:cs="Times New Roman"/>
          <w:i/>
          <w:color w:val="000000"/>
          <w:lang w:eastAsia="da-DK"/>
        </w:rPr>
        <w:t>§ 13,</w:t>
      </w:r>
      <w:r w:rsidR="000B2DB2" w:rsidRPr="00984FB8">
        <w:rPr>
          <w:rFonts w:eastAsia="Times New Roman" w:cs="Times New Roman"/>
          <w:i/>
          <w:color w:val="000000"/>
          <w:lang w:eastAsia="da-DK"/>
        </w:rPr>
        <w:t xml:space="preserve"> </w:t>
      </w:r>
      <w:r w:rsidR="006A36A3" w:rsidRPr="00984FB8">
        <w:rPr>
          <w:rFonts w:eastAsia="Times New Roman" w:cs="Times New Roman"/>
          <w:i/>
          <w:color w:val="000000"/>
          <w:lang w:eastAsia="da-DK"/>
        </w:rPr>
        <w:t>stk. 2</w:t>
      </w:r>
      <w:r w:rsidR="006A36A3" w:rsidRPr="00577043">
        <w:rPr>
          <w:rFonts w:eastAsia="Times New Roman" w:cs="Times New Roman"/>
          <w:color w:val="000000"/>
          <w:lang w:eastAsia="da-DK"/>
        </w:rPr>
        <w:t>, affattes således:</w:t>
      </w:r>
    </w:p>
    <w:p w14:paraId="44A9BCDF" w14:textId="77777777" w:rsidR="006A36A3" w:rsidRPr="00577043" w:rsidRDefault="00906232" w:rsidP="00CB2276">
      <w:pPr>
        <w:rPr>
          <w:rFonts w:eastAsia="Times New Roman" w:cs="Times New Roman"/>
          <w:color w:val="000000"/>
          <w:lang w:eastAsia="da-DK"/>
        </w:rPr>
      </w:pPr>
      <w:r w:rsidRPr="00577043">
        <w:rPr>
          <w:rFonts w:eastAsia="Times New Roman" w:cs="Times New Roman"/>
          <w:color w:val="000000"/>
          <w:lang w:eastAsia="da-DK"/>
        </w:rPr>
        <w:t xml:space="preserve">   </w:t>
      </w:r>
      <w:r w:rsidR="006A36A3" w:rsidRPr="00577043">
        <w:rPr>
          <w:rFonts w:eastAsia="Times New Roman" w:cs="Times New Roman"/>
          <w:color w:val="000000"/>
          <w:lang w:eastAsia="da-DK"/>
        </w:rPr>
        <w:t xml:space="preserve">”Indebærer et forskningsprojekt klinisk afprøvning af medicinsk udstyr, der skal godkendes af </w:t>
      </w:r>
      <w:r w:rsidR="0058651B">
        <w:rPr>
          <w:rFonts w:eastAsia="Times New Roman" w:cs="Times New Roman"/>
          <w:color w:val="000000"/>
          <w:lang w:eastAsia="da-DK"/>
        </w:rPr>
        <w:t>Lægemiddelstyrelsen</w:t>
      </w:r>
      <w:r w:rsidR="006A36A3" w:rsidRPr="00577043">
        <w:rPr>
          <w:rFonts w:eastAsia="Times New Roman" w:cs="Times New Roman"/>
          <w:color w:val="000000"/>
          <w:lang w:eastAsia="da-DK"/>
        </w:rPr>
        <w:t>, forudsætter komitésystemets tilladelse til gennemførelse af projektet den fornødne tilladelse efter lov om medicinsk udstyr.”.</w:t>
      </w:r>
    </w:p>
    <w:p w14:paraId="3EBF80BE" w14:textId="77777777" w:rsidR="00A138B8" w:rsidRPr="00577043" w:rsidRDefault="00A138B8" w:rsidP="00CB2276">
      <w:pPr>
        <w:rPr>
          <w:rFonts w:eastAsia="Times New Roman" w:cs="Times New Roman"/>
          <w:b/>
          <w:color w:val="000000"/>
          <w:lang w:eastAsia="da-DK"/>
        </w:rPr>
      </w:pPr>
    </w:p>
    <w:p w14:paraId="53BAC8AC" w14:textId="77777777" w:rsidR="00777E6B" w:rsidRPr="00577043" w:rsidRDefault="00F9344C" w:rsidP="00CB2276">
      <w:pPr>
        <w:rPr>
          <w:rFonts w:eastAsia="Times New Roman" w:cs="Times New Roman"/>
          <w:color w:val="000000"/>
          <w:lang w:eastAsia="da-DK"/>
        </w:rPr>
      </w:pPr>
      <w:r>
        <w:rPr>
          <w:rFonts w:eastAsia="Times New Roman" w:cs="Times New Roman"/>
          <w:b/>
          <w:color w:val="000000"/>
          <w:lang w:eastAsia="da-DK"/>
        </w:rPr>
        <w:t>16</w:t>
      </w:r>
      <w:r w:rsidR="00777E6B" w:rsidRPr="00577043">
        <w:rPr>
          <w:rFonts w:eastAsia="Times New Roman" w:cs="Times New Roman"/>
          <w:b/>
          <w:color w:val="000000"/>
          <w:lang w:eastAsia="da-DK"/>
        </w:rPr>
        <w:t>.</w:t>
      </w:r>
      <w:r w:rsidR="00777E6B" w:rsidRPr="00577043">
        <w:rPr>
          <w:rFonts w:eastAsia="Times New Roman" w:cs="Times New Roman"/>
          <w:color w:val="000000"/>
          <w:lang w:eastAsia="da-DK"/>
        </w:rPr>
        <w:t xml:space="preserve"> I </w:t>
      </w:r>
      <w:r w:rsidR="00777E6B" w:rsidRPr="00984FB8">
        <w:rPr>
          <w:rFonts w:eastAsia="Times New Roman" w:cs="Times New Roman"/>
          <w:i/>
          <w:color w:val="000000"/>
          <w:lang w:eastAsia="da-DK"/>
        </w:rPr>
        <w:t>§ 15, stk. 1, 1. pkt.</w:t>
      </w:r>
      <w:r w:rsidR="00143E34" w:rsidRPr="00577043">
        <w:rPr>
          <w:rFonts w:eastAsia="Times New Roman" w:cs="Times New Roman"/>
          <w:color w:val="000000"/>
          <w:lang w:eastAsia="da-DK"/>
        </w:rPr>
        <w:t>,</w:t>
      </w:r>
      <w:r w:rsidR="00777E6B" w:rsidRPr="00577043">
        <w:rPr>
          <w:rFonts w:eastAsia="Times New Roman" w:cs="Times New Roman"/>
          <w:color w:val="000000"/>
          <w:lang w:eastAsia="da-DK"/>
        </w:rPr>
        <w:t xml:space="preserve"> tilføjes efter ”virke”:</w:t>
      </w:r>
    </w:p>
    <w:p w14:paraId="3FB14B8C" w14:textId="77777777" w:rsidR="00777E6B" w:rsidRPr="00577043" w:rsidRDefault="00906232" w:rsidP="00CB2276">
      <w:pPr>
        <w:rPr>
          <w:rFonts w:eastAsia="Times New Roman" w:cs="Times New Roman"/>
          <w:b/>
          <w:color w:val="000000"/>
          <w:lang w:eastAsia="da-DK"/>
        </w:rPr>
      </w:pPr>
      <w:r w:rsidRPr="00577043">
        <w:rPr>
          <w:rFonts w:eastAsia="Times New Roman" w:cs="Times New Roman"/>
          <w:color w:val="000000"/>
          <w:lang w:eastAsia="da-DK"/>
        </w:rPr>
        <w:t xml:space="preserve">   </w:t>
      </w:r>
      <w:r w:rsidR="00777E6B" w:rsidRPr="00577043">
        <w:rPr>
          <w:rFonts w:eastAsia="Times New Roman" w:cs="Times New Roman"/>
          <w:color w:val="000000"/>
          <w:lang w:eastAsia="da-DK"/>
        </w:rPr>
        <w:t>”jf. dog stk. 3”</w:t>
      </w:r>
      <w:r w:rsidR="00777E6B" w:rsidRPr="00577043">
        <w:rPr>
          <w:rFonts w:eastAsia="Times New Roman" w:cs="Times New Roman"/>
          <w:b/>
          <w:color w:val="000000"/>
          <w:lang w:eastAsia="da-DK"/>
        </w:rPr>
        <w:t>.</w:t>
      </w:r>
    </w:p>
    <w:p w14:paraId="0FAC0444" w14:textId="77777777" w:rsidR="00A138B8" w:rsidRPr="00577043" w:rsidRDefault="00A138B8" w:rsidP="00777E6B">
      <w:pPr>
        <w:rPr>
          <w:rFonts w:eastAsia="Times New Roman" w:cs="Times New Roman"/>
          <w:b/>
          <w:color w:val="000000"/>
          <w:lang w:eastAsia="da-DK"/>
        </w:rPr>
      </w:pPr>
    </w:p>
    <w:p w14:paraId="552C6657" w14:textId="77777777" w:rsidR="00777E6B" w:rsidRPr="00577043" w:rsidRDefault="00F9344C" w:rsidP="00777E6B">
      <w:pPr>
        <w:rPr>
          <w:rFonts w:eastAsia="Times New Roman" w:cs="Times New Roman"/>
          <w:color w:val="000000"/>
          <w:lang w:eastAsia="da-DK"/>
        </w:rPr>
      </w:pPr>
      <w:r>
        <w:rPr>
          <w:rFonts w:eastAsia="Times New Roman" w:cs="Times New Roman"/>
          <w:b/>
          <w:color w:val="000000"/>
          <w:lang w:eastAsia="da-DK"/>
        </w:rPr>
        <w:t>17</w:t>
      </w:r>
      <w:r w:rsidR="00777E6B" w:rsidRPr="00577043">
        <w:rPr>
          <w:rFonts w:eastAsia="Times New Roman" w:cs="Times New Roman"/>
          <w:b/>
          <w:color w:val="000000"/>
          <w:lang w:eastAsia="da-DK"/>
        </w:rPr>
        <w:t>.</w:t>
      </w:r>
      <w:r w:rsidR="00777E6B" w:rsidRPr="00577043">
        <w:rPr>
          <w:rFonts w:eastAsia="Times New Roman" w:cs="Times New Roman"/>
          <w:color w:val="000000"/>
          <w:lang w:eastAsia="da-DK"/>
        </w:rPr>
        <w:t xml:space="preserve"> I </w:t>
      </w:r>
      <w:r w:rsidR="00777E6B" w:rsidRPr="00984FB8">
        <w:rPr>
          <w:rFonts w:eastAsia="Times New Roman" w:cs="Times New Roman"/>
          <w:i/>
          <w:color w:val="000000"/>
          <w:lang w:eastAsia="da-DK"/>
        </w:rPr>
        <w:t>§ 15, stk. 2, 2. pkt.</w:t>
      </w:r>
      <w:r w:rsidR="00143E34" w:rsidRPr="00577043">
        <w:rPr>
          <w:rFonts w:eastAsia="Times New Roman" w:cs="Times New Roman"/>
          <w:color w:val="000000"/>
          <w:lang w:eastAsia="da-DK"/>
        </w:rPr>
        <w:t>,</w:t>
      </w:r>
      <w:r w:rsidR="00777E6B" w:rsidRPr="00577043">
        <w:rPr>
          <w:rFonts w:eastAsia="Times New Roman" w:cs="Times New Roman"/>
          <w:color w:val="000000"/>
          <w:lang w:eastAsia="da-DK"/>
        </w:rPr>
        <w:t xml:space="preserve"> tilføjes</w:t>
      </w:r>
      <w:r w:rsidR="00777E6B" w:rsidRPr="00577043">
        <w:rPr>
          <w:rFonts w:eastAsia="Times New Roman" w:cs="Times New Roman"/>
          <w:b/>
          <w:color w:val="000000"/>
          <w:lang w:eastAsia="da-DK"/>
        </w:rPr>
        <w:t xml:space="preserve"> </w:t>
      </w:r>
      <w:r w:rsidR="00777E6B" w:rsidRPr="00577043">
        <w:rPr>
          <w:rFonts w:eastAsia="Times New Roman" w:cs="Times New Roman"/>
          <w:color w:val="000000"/>
          <w:lang w:eastAsia="da-DK"/>
        </w:rPr>
        <w:t>efter ”virke”:</w:t>
      </w:r>
    </w:p>
    <w:p w14:paraId="235EF5F1" w14:textId="77777777" w:rsidR="00777E6B" w:rsidRPr="00577043" w:rsidRDefault="00906232" w:rsidP="00777E6B">
      <w:pPr>
        <w:rPr>
          <w:rFonts w:eastAsia="Times New Roman" w:cs="Times New Roman"/>
          <w:b/>
          <w:color w:val="000000"/>
          <w:lang w:eastAsia="da-DK"/>
        </w:rPr>
      </w:pPr>
      <w:r w:rsidRPr="00577043">
        <w:rPr>
          <w:rFonts w:eastAsia="Times New Roman" w:cs="Times New Roman"/>
          <w:color w:val="000000"/>
          <w:lang w:eastAsia="da-DK"/>
        </w:rPr>
        <w:t xml:space="preserve">   </w:t>
      </w:r>
      <w:r w:rsidR="00777E6B" w:rsidRPr="00577043">
        <w:rPr>
          <w:rFonts w:eastAsia="Times New Roman" w:cs="Times New Roman"/>
          <w:color w:val="000000"/>
          <w:lang w:eastAsia="da-DK"/>
        </w:rPr>
        <w:t>”jf. dog stk. 3”</w:t>
      </w:r>
      <w:r w:rsidR="00777E6B" w:rsidRPr="00577043">
        <w:rPr>
          <w:rFonts w:eastAsia="Times New Roman" w:cs="Times New Roman"/>
          <w:b/>
          <w:color w:val="000000"/>
          <w:lang w:eastAsia="da-DK"/>
        </w:rPr>
        <w:t>.</w:t>
      </w:r>
    </w:p>
    <w:p w14:paraId="0D0DEC54" w14:textId="77777777" w:rsidR="00A138B8" w:rsidRPr="00577043" w:rsidRDefault="00A138B8" w:rsidP="00CB2276">
      <w:pPr>
        <w:rPr>
          <w:rFonts w:eastAsia="Times New Roman" w:cs="Times New Roman"/>
          <w:b/>
          <w:color w:val="000000"/>
          <w:lang w:eastAsia="da-DK"/>
        </w:rPr>
      </w:pPr>
    </w:p>
    <w:p w14:paraId="6A301AD2" w14:textId="77777777" w:rsidR="00777E6B" w:rsidRPr="00577043" w:rsidRDefault="00F9344C" w:rsidP="00CB2276">
      <w:pPr>
        <w:rPr>
          <w:rFonts w:eastAsia="Times New Roman" w:cs="Times New Roman"/>
          <w:color w:val="000000"/>
          <w:lang w:eastAsia="da-DK"/>
        </w:rPr>
      </w:pPr>
      <w:r>
        <w:rPr>
          <w:rFonts w:eastAsia="Times New Roman" w:cs="Times New Roman"/>
          <w:b/>
          <w:color w:val="000000"/>
          <w:lang w:eastAsia="da-DK"/>
        </w:rPr>
        <w:t>18</w:t>
      </w:r>
      <w:r w:rsidR="00777E6B" w:rsidRPr="00577043">
        <w:rPr>
          <w:rFonts w:eastAsia="Times New Roman" w:cs="Times New Roman"/>
          <w:b/>
          <w:color w:val="000000"/>
          <w:lang w:eastAsia="da-DK"/>
        </w:rPr>
        <w:t>.</w:t>
      </w:r>
      <w:r w:rsidR="00777E6B" w:rsidRPr="00577043">
        <w:rPr>
          <w:rFonts w:eastAsia="Times New Roman" w:cs="Times New Roman"/>
          <w:color w:val="000000"/>
          <w:lang w:eastAsia="da-DK"/>
        </w:rPr>
        <w:t xml:space="preserve"> Efter § 15, stk. 2</w:t>
      </w:r>
      <w:r w:rsidR="002815DC" w:rsidRPr="00577043">
        <w:rPr>
          <w:rFonts w:eastAsia="Times New Roman" w:cs="Times New Roman"/>
          <w:color w:val="000000"/>
          <w:lang w:eastAsia="da-DK"/>
        </w:rPr>
        <w:t>,</w:t>
      </w:r>
      <w:r w:rsidR="00777E6B" w:rsidRPr="00577043">
        <w:rPr>
          <w:rFonts w:eastAsia="Times New Roman" w:cs="Times New Roman"/>
          <w:color w:val="000000"/>
          <w:lang w:eastAsia="da-DK"/>
        </w:rPr>
        <w:t xml:space="preserve"> indsættes</w:t>
      </w:r>
      <w:r w:rsidR="000B2DB2" w:rsidRPr="00577043">
        <w:rPr>
          <w:rFonts w:eastAsia="Times New Roman" w:cs="Times New Roman"/>
          <w:color w:val="000000"/>
          <w:lang w:eastAsia="da-DK"/>
        </w:rPr>
        <w:t xml:space="preserve"> som </w:t>
      </w:r>
      <w:r w:rsidR="000B2DB2" w:rsidRPr="00984FB8">
        <w:rPr>
          <w:rFonts w:eastAsia="Times New Roman" w:cs="Times New Roman"/>
          <w:i/>
          <w:color w:val="000000"/>
          <w:lang w:eastAsia="da-DK"/>
        </w:rPr>
        <w:t>stk. 3</w:t>
      </w:r>
      <w:r w:rsidR="000B2DB2" w:rsidRPr="00577043">
        <w:rPr>
          <w:rFonts w:eastAsia="Times New Roman" w:cs="Times New Roman"/>
          <w:color w:val="000000"/>
          <w:lang w:eastAsia="da-DK"/>
        </w:rPr>
        <w:t>:</w:t>
      </w:r>
    </w:p>
    <w:p w14:paraId="5281CEFE" w14:textId="77777777" w:rsidR="000B2DB2" w:rsidRPr="00577043" w:rsidRDefault="00906232" w:rsidP="00CB2276">
      <w:pPr>
        <w:rPr>
          <w:rFonts w:eastAsia="Times New Roman" w:cs="Times New Roman"/>
          <w:color w:val="000000"/>
          <w:lang w:eastAsia="da-DK"/>
        </w:rPr>
      </w:pPr>
      <w:r w:rsidRPr="00577043">
        <w:rPr>
          <w:rFonts w:eastAsia="Times New Roman" w:cs="Times New Roman"/>
          <w:color w:val="000000"/>
          <w:lang w:eastAsia="da-DK"/>
        </w:rPr>
        <w:t xml:space="preserve">   </w:t>
      </w:r>
      <w:r w:rsidR="000B2DB2" w:rsidRPr="00577043">
        <w:rPr>
          <w:rFonts w:eastAsia="Times New Roman" w:cs="Times New Roman"/>
          <w:color w:val="000000"/>
          <w:lang w:eastAsia="da-DK"/>
        </w:rPr>
        <w:t>”Kliniske forsøg med lægemidler anmeldes til de vide</w:t>
      </w:r>
      <w:r w:rsidRPr="00577043">
        <w:rPr>
          <w:rFonts w:eastAsia="Times New Roman" w:cs="Times New Roman"/>
          <w:color w:val="000000"/>
          <w:lang w:eastAsia="da-DK"/>
        </w:rPr>
        <w:t xml:space="preserve">nskabsetiske lægemiddelkomiteer, jf. </w:t>
      </w:r>
      <w:r w:rsidR="00C9580A" w:rsidRPr="00577043">
        <w:rPr>
          <w:rFonts w:eastAsia="Times New Roman" w:cs="Times New Roman"/>
          <w:color w:val="000000"/>
          <w:lang w:eastAsia="da-DK"/>
        </w:rPr>
        <w:t>lov om kliniske forsøg med lægemidler</w:t>
      </w:r>
      <w:r w:rsidR="00734181" w:rsidRPr="00577043">
        <w:rPr>
          <w:rFonts w:eastAsia="Times New Roman" w:cs="Times New Roman"/>
          <w:color w:val="000000"/>
          <w:lang w:eastAsia="da-DK"/>
        </w:rPr>
        <w:t>.</w:t>
      </w:r>
      <w:r w:rsidR="000B2DB2" w:rsidRPr="00577043">
        <w:rPr>
          <w:rFonts w:eastAsia="Times New Roman" w:cs="Times New Roman"/>
          <w:color w:val="000000"/>
          <w:lang w:eastAsia="da-DK"/>
        </w:rPr>
        <w:t>”.</w:t>
      </w:r>
    </w:p>
    <w:p w14:paraId="58EEC4E8" w14:textId="77777777" w:rsidR="000B2DB2" w:rsidRPr="00577043" w:rsidRDefault="000B2DB2" w:rsidP="00CB2276">
      <w:pPr>
        <w:rPr>
          <w:rFonts w:eastAsia="Times New Roman" w:cs="Times New Roman"/>
          <w:color w:val="000000"/>
          <w:lang w:eastAsia="da-DK"/>
        </w:rPr>
      </w:pPr>
      <w:r w:rsidRPr="00577043">
        <w:rPr>
          <w:rFonts w:eastAsia="Times New Roman" w:cs="Times New Roman"/>
          <w:color w:val="000000"/>
          <w:lang w:eastAsia="da-DK"/>
        </w:rPr>
        <w:t>Stk. 3 bliver herefter stk. 4.</w:t>
      </w:r>
    </w:p>
    <w:p w14:paraId="5B04E1EE" w14:textId="77777777" w:rsidR="00A138B8" w:rsidRPr="00577043" w:rsidRDefault="00A138B8" w:rsidP="00CB2276">
      <w:pPr>
        <w:rPr>
          <w:rFonts w:eastAsia="Times New Roman" w:cs="Times New Roman"/>
          <w:b/>
          <w:color w:val="000000"/>
          <w:lang w:eastAsia="da-DK"/>
        </w:rPr>
      </w:pPr>
    </w:p>
    <w:p w14:paraId="655C45A5" w14:textId="77777777" w:rsidR="008F3C90" w:rsidRPr="00577043" w:rsidRDefault="00F9344C" w:rsidP="00CB2276">
      <w:pPr>
        <w:rPr>
          <w:rFonts w:eastAsia="Times New Roman" w:cs="Times New Roman"/>
          <w:color w:val="000000"/>
          <w:lang w:eastAsia="da-DK"/>
        </w:rPr>
      </w:pPr>
      <w:r>
        <w:rPr>
          <w:rFonts w:eastAsia="Times New Roman" w:cs="Times New Roman"/>
          <w:b/>
          <w:color w:val="000000"/>
          <w:lang w:eastAsia="da-DK"/>
        </w:rPr>
        <w:t>19</w:t>
      </w:r>
      <w:r w:rsidR="008F3C90" w:rsidRPr="00577043">
        <w:rPr>
          <w:rFonts w:eastAsia="Times New Roman" w:cs="Times New Roman"/>
          <w:b/>
          <w:color w:val="000000"/>
          <w:lang w:eastAsia="da-DK"/>
        </w:rPr>
        <w:t xml:space="preserve">. </w:t>
      </w:r>
      <w:r w:rsidR="008F3C90" w:rsidRPr="00577043">
        <w:rPr>
          <w:rFonts w:eastAsia="Times New Roman" w:cs="Times New Roman"/>
          <w:color w:val="000000"/>
          <w:lang w:eastAsia="da-DK"/>
        </w:rPr>
        <w:t xml:space="preserve">I </w:t>
      </w:r>
      <w:r w:rsidR="008F3C90" w:rsidRPr="00984FB8">
        <w:rPr>
          <w:rFonts w:eastAsia="Times New Roman" w:cs="Times New Roman"/>
          <w:i/>
          <w:color w:val="000000"/>
          <w:lang w:eastAsia="da-DK"/>
        </w:rPr>
        <w:t>§ 19, stk. 2</w:t>
      </w:r>
      <w:r w:rsidR="00A7212D" w:rsidRPr="00984FB8">
        <w:rPr>
          <w:rFonts w:eastAsia="Times New Roman" w:cs="Times New Roman"/>
          <w:i/>
          <w:color w:val="000000"/>
          <w:lang w:eastAsia="da-DK"/>
        </w:rPr>
        <w:t xml:space="preserve"> og 3</w:t>
      </w:r>
      <w:r w:rsidR="008F3C90" w:rsidRPr="00577043">
        <w:rPr>
          <w:rFonts w:eastAsia="Times New Roman" w:cs="Times New Roman"/>
          <w:color w:val="000000"/>
          <w:lang w:eastAsia="da-DK"/>
        </w:rPr>
        <w:t>, udgår ”</w:t>
      </w:r>
      <w:r w:rsidR="008F3C90" w:rsidRPr="00577043">
        <w:rPr>
          <w:rFonts w:cs="Times New Roman"/>
          <w:sz w:val="17"/>
          <w:szCs w:val="17"/>
        </w:rPr>
        <w:t xml:space="preserve"> </w:t>
      </w:r>
      <w:r w:rsidR="008F3C90" w:rsidRPr="00577043">
        <w:rPr>
          <w:rFonts w:eastAsia="Times New Roman" w:cs="Times New Roman"/>
          <w:color w:val="000000"/>
          <w:lang w:eastAsia="da-DK"/>
        </w:rPr>
        <w:t>angår det anmeldte sundhedsvidenskabelige forskningsprojekt ikke kliniske forsøg med lægemidler”.</w:t>
      </w:r>
    </w:p>
    <w:p w14:paraId="1FE8B125" w14:textId="77777777" w:rsidR="00A138B8" w:rsidRPr="00577043" w:rsidRDefault="00A138B8" w:rsidP="00CB2276">
      <w:pPr>
        <w:rPr>
          <w:rFonts w:eastAsia="Times New Roman" w:cs="Times New Roman"/>
          <w:b/>
          <w:color w:val="000000"/>
          <w:lang w:eastAsia="da-DK"/>
        </w:rPr>
      </w:pPr>
    </w:p>
    <w:p w14:paraId="3CE0A8FD" w14:textId="77777777" w:rsidR="00016059" w:rsidRPr="00577043" w:rsidRDefault="00F9344C" w:rsidP="00CB2276">
      <w:pPr>
        <w:rPr>
          <w:rFonts w:eastAsia="Times New Roman" w:cs="Times New Roman"/>
          <w:color w:val="000000"/>
          <w:lang w:eastAsia="da-DK"/>
        </w:rPr>
      </w:pPr>
      <w:r>
        <w:rPr>
          <w:rFonts w:eastAsia="Times New Roman" w:cs="Times New Roman"/>
          <w:b/>
          <w:color w:val="000000"/>
          <w:lang w:eastAsia="da-DK"/>
        </w:rPr>
        <w:t>20</w:t>
      </w:r>
      <w:r w:rsidR="00016059" w:rsidRPr="00577043">
        <w:rPr>
          <w:rFonts w:eastAsia="Times New Roman" w:cs="Times New Roman"/>
          <w:b/>
          <w:color w:val="000000"/>
          <w:lang w:eastAsia="da-DK"/>
        </w:rPr>
        <w:t>.</w:t>
      </w:r>
      <w:r w:rsidR="005B01C7" w:rsidRPr="00577043">
        <w:rPr>
          <w:rFonts w:eastAsia="Times New Roman" w:cs="Times New Roman"/>
          <w:color w:val="000000"/>
          <w:lang w:eastAsia="da-DK"/>
        </w:rPr>
        <w:t xml:space="preserve"> I </w:t>
      </w:r>
      <w:r w:rsidR="005B01C7" w:rsidRPr="00984FB8">
        <w:rPr>
          <w:rFonts w:eastAsia="Times New Roman" w:cs="Times New Roman"/>
          <w:i/>
          <w:color w:val="000000"/>
          <w:lang w:eastAsia="da-DK"/>
        </w:rPr>
        <w:t>§ 21</w:t>
      </w:r>
      <w:r w:rsidR="00016059" w:rsidRPr="00984FB8">
        <w:rPr>
          <w:rFonts w:eastAsia="Times New Roman" w:cs="Times New Roman"/>
          <w:i/>
          <w:color w:val="000000"/>
          <w:lang w:eastAsia="da-DK"/>
        </w:rPr>
        <w:t>, stk. 1</w:t>
      </w:r>
      <w:r w:rsidR="00016059" w:rsidRPr="00577043">
        <w:rPr>
          <w:rFonts w:eastAsia="Times New Roman" w:cs="Times New Roman"/>
          <w:color w:val="000000"/>
          <w:lang w:eastAsia="da-DK"/>
        </w:rPr>
        <w:t>, udgår ”</w:t>
      </w:r>
      <w:r w:rsidR="00016059" w:rsidRPr="00577043">
        <w:rPr>
          <w:rFonts w:cs="Times New Roman"/>
          <w:sz w:val="17"/>
          <w:szCs w:val="17"/>
        </w:rPr>
        <w:t xml:space="preserve"> </w:t>
      </w:r>
      <w:r w:rsidR="00016059" w:rsidRPr="00577043">
        <w:rPr>
          <w:rFonts w:eastAsia="Times New Roman" w:cs="Times New Roman"/>
          <w:color w:val="000000"/>
          <w:lang w:eastAsia="da-DK"/>
        </w:rPr>
        <w:t>som angår kliniske forsøg med lægemidler, der er omfattet af lov om lægemidler,”.</w:t>
      </w:r>
    </w:p>
    <w:p w14:paraId="11BFD5DE" w14:textId="77777777" w:rsidR="00A138B8" w:rsidRPr="00577043" w:rsidRDefault="00A138B8" w:rsidP="00CB2276">
      <w:pPr>
        <w:rPr>
          <w:rFonts w:eastAsia="Times New Roman" w:cs="Times New Roman"/>
          <w:b/>
          <w:color w:val="000000"/>
          <w:lang w:eastAsia="da-DK"/>
        </w:rPr>
      </w:pPr>
    </w:p>
    <w:p w14:paraId="077C64F7" w14:textId="77777777" w:rsidR="00107E49" w:rsidRPr="00577043" w:rsidRDefault="00F9344C" w:rsidP="00CB2276">
      <w:pPr>
        <w:rPr>
          <w:rFonts w:eastAsia="Times New Roman" w:cs="Times New Roman"/>
          <w:color w:val="000000"/>
          <w:lang w:eastAsia="da-DK"/>
        </w:rPr>
      </w:pPr>
      <w:r>
        <w:rPr>
          <w:rFonts w:eastAsia="Times New Roman" w:cs="Times New Roman"/>
          <w:b/>
          <w:color w:val="000000"/>
          <w:lang w:eastAsia="da-DK"/>
        </w:rPr>
        <w:t>21</w:t>
      </w:r>
      <w:r w:rsidR="00911F63" w:rsidRPr="00577043">
        <w:rPr>
          <w:rFonts w:eastAsia="Times New Roman" w:cs="Times New Roman"/>
          <w:b/>
          <w:color w:val="000000"/>
          <w:lang w:eastAsia="da-DK"/>
        </w:rPr>
        <w:t>.</w:t>
      </w:r>
      <w:r w:rsidR="00911F63" w:rsidRPr="00577043">
        <w:rPr>
          <w:rFonts w:eastAsia="Times New Roman" w:cs="Times New Roman"/>
          <w:color w:val="000000"/>
          <w:lang w:eastAsia="da-DK"/>
        </w:rPr>
        <w:t xml:space="preserve"> I </w:t>
      </w:r>
      <w:r w:rsidR="00911F63" w:rsidRPr="00984FB8">
        <w:rPr>
          <w:rFonts w:eastAsia="Times New Roman" w:cs="Times New Roman"/>
          <w:i/>
          <w:color w:val="000000"/>
          <w:lang w:eastAsia="da-DK"/>
        </w:rPr>
        <w:t>§ 23, stk. 2</w:t>
      </w:r>
      <w:r w:rsidR="00911F63" w:rsidRPr="00577043">
        <w:rPr>
          <w:rFonts w:eastAsia="Times New Roman" w:cs="Times New Roman"/>
          <w:color w:val="000000"/>
          <w:lang w:eastAsia="da-DK"/>
        </w:rPr>
        <w:t>, erstattes ”genterapi, somatisk celleterapi eller lægemidler” med ”genterapi eller somatisk celleterapi”.</w:t>
      </w:r>
    </w:p>
    <w:p w14:paraId="4A3A1DDD" w14:textId="77777777" w:rsidR="00A138B8" w:rsidRPr="00577043" w:rsidRDefault="00A138B8" w:rsidP="00CB2276">
      <w:pPr>
        <w:rPr>
          <w:rFonts w:eastAsia="Times New Roman" w:cs="Times New Roman"/>
          <w:b/>
          <w:color w:val="000000"/>
          <w:lang w:eastAsia="da-DK"/>
        </w:rPr>
      </w:pPr>
    </w:p>
    <w:p w14:paraId="329881BA" w14:textId="77777777" w:rsidR="00A23655" w:rsidRPr="00577043" w:rsidRDefault="00F9344C" w:rsidP="00CB2276">
      <w:pPr>
        <w:rPr>
          <w:rFonts w:eastAsia="Times New Roman" w:cs="Times New Roman"/>
          <w:color w:val="000000"/>
          <w:lang w:eastAsia="da-DK"/>
        </w:rPr>
      </w:pPr>
      <w:r>
        <w:rPr>
          <w:rFonts w:eastAsia="Times New Roman" w:cs="Times New Roman"/>
          <w:b/>
          <w:color w:val="000000"/>
          <w:lang w:eastAsia="da-DK"/>
        </w:rPr>
        <w:t>22</w:t>
      </w:r>
      <w:r w:rsidR="00107E49" w:rsidRPr="00577043">
        <w:rPr>
          <w:rFonts w:eastAsia="Times New Roman" w:cs="Times New Roman"/>
          <w:b/>
          <w:color w:val="000000"/>
          <w:lang w:eastAsia="da-DK"/>
        </w:rPr>
        <w:t xml:space="preserve">. </w:t>
      </w:r>
      <w:r w:rsidR="00107E49" w:rsidRPr="00577043">
        <w:rPr>
          <w:rFonts w:eastAsia="Times New Roman" w:cs="Times New Roman"/>
          <w:color w:val="000000"/>
          <w:lang w:eastAsia="da-DK"/>
        </w:rPr>
        <w:t xml:space="preserve">I </w:t>
      </w:r>
      <w:r w:rsidR="00107E49" w:rsidRPr="00984FB8">
        <w:rPr>
          <w:rFonts w:eastAsia="Times New Roman" w:cs="Times New Roman"/>
          <w:i/>
          <w:color w:val="000000"/>
          <w:lang w:eastAsia="da-DK"/>
        </w:rPr>
        <w:t>§ 23, stk. 5</w:t>
      </w:r>
      <w:r w:rsidR="004037E6" w:rsidRPr="00577043">
        <w:rPr>
          <w:rFonts w:eastAsia="Times New Roman" w:cs="Times New Roman"/>
          <w:color w:val="000000"/>
          <w:lang w:eastAsia="da-DK"/>
        </w:rPr>
        <w:t>,</w:t>
      </w:r>
      <w:r w:rsidR="00107E49" w:rsidRPr="00577043">
        <w:rPr>
          <w:rFonts w:eastAsia="Times New Roman" w:cs="Times New Roman"/>
          <w:color w:val="000000"/>
          <w:lang w:eastAsia="da-DK"/>
        </w:rPr>
        <w:t xml:space="preserve"> udgår ”</w:t>
      </w:r>
      <w:r w:rsidR="00107E49" w:rsidRPr="00577043">
        <w:rPr>
          <w:rFonts w:cs="Times New Roman"/>
          <w:sz w:val="17"/>
          <w:szCs w:val="17"/>
        </w:rPr>
        <w:t xml:space="preserve"> </w:t>
      </w:r>
      <w:r w:rsidR="00107E49" w:rsidRPr="00577043">
        <w:rPr>
          <w:rFonts w:eastAsia="Times New Roman" w:cs="Times New Roman"/>
          <w:color w:val="000000"/>
          <w:lang w:eastAsia="da-DK"/>
        </w:rPr>
        <w:t>hvori der ikke indgår kliniske forsøg med lægemidler,”</w:t>
      </w:r>
      <w:r w:rsidR="00A23655" w:rsidRPr="00577043">
        <w:rPr>
          <w:rFonts w:eastAsia="Times New Roman" w:cs="Times New Roman"/>
          <w:color w:val="000000"/>
          <w:lang w:eastAsia="da-DK"/>
        </w:rPr>
        <w:t>.</w:t>
      </w:r>
    </w:p>
    <w:p w14:paraId="1FB57944" w14:textId="77777777" w:rsidR="00A138B8" w:rsidRPr="00577043" w:rsidRDefault="00A138B8" w:rsidP="00CB2276">
      <w:pPr>
        <w:rPr>
          <w:rFonts w:eastAsia="Times New Roman" w:cs="Times New Roman"/>
          <w:b/>
          <w:color w:val="000000"/>
          <w:lang w:eastAsia="da-DK"/>
        </w:rPr>
      </w:pPr>
    </w:p>
    <w:p w14:paraId="0FF9DE21" w14:textId="77777777" w:rsidR="003F2A0A" w:rsidRPr="00577043" w:rsidRDefault="00F9344C" w:rsidP="00CB2276">
      <w:pPr>
        <w:rPr>
          <w:rFonts w:eastAsia="Times New Roman" w:cs="Times New Roman"/>
          <w:color w:val="000000"/>
          <w:lang w:eastAsia="da-DK"/>
        </w:rPr>
      </w:pPr>
      <w:r>
        <w:rPr>
          <w:rFonts w:eastAsia="Times New Roman" w:cs="Times New Roman"/>
          <w:b/>
          <w:color w:val="000000"/>
          <w:lang w:eastAsia="da-DK"/>
        </w:rPr>
        <w:t>23</w:t>
      </w:r>
      <w:r w:rsidR="00A23655" w:rsidRPr="00577043">
        <w:rPr>
          <w:rFonts w:eastAsia="Times New Roman" w:cs="Times New Roman"/>
          <w:b/>
          <w:color w:val="000000"/>
          <w:lang w:eastAsia="da-DK"/>
        </w:rPr>
        <w:t>.</w:t>
      </w:r>
      <w:r w:rsidR="003F2A0A" w:rsidRPr="00577043">
        <w:rPr>
          <w:rFonts w:eastAsia="Times New Roman" w:cs="Times New Roman"/>
          <w:b/>
          <w:color w:val="000000"/>
          <w:lang w:eastAsia="da-DK"/>
        </w:rPr>
        <w:t xml:space="preserve"> </w:t>
      </w:r>
      <w:r w:rsidR="003F2A0A" w:rsidRPr="00577043">
        <w:rPr>
          <w:rFonts w:eastAsia="Times New Roman" w:cs="Times New Roman"/>
          <w:color w:val="000000"/>
          <w:lang w:eastAsia="da-DK"/>
        </w:rPr>
        <w:t xml:space="preserve">I </w:t>
      </w:r>
      <w:r w:rsidR="003F2A0A" w:rsidRPr="00984FB8">
        <w:rPr>
          <w:rFonts w:eastAsia="Times New Roman" w:cs="Times New Roman"/>
          <w:i/>
          <w:color w:val="000000"/>
          <w:lang w:eastAsia="da-DK"/>
        </w:rPr>
        <w:t>§ 26, stk. 1, 1. pkt.</w:t>
      </w:r>
      <w:r w:rsidR="00143E34" w:rsidRPr="00577043">
        <w:rPr>
          <w:rFonts w:eastAsia="Times New Roman" w:cs="Times New Roman"/>
          <w:color w:val="000000"/>
          <w:lang w:eastAsia="da-DK"/>
        </w:rPr>
        <w:t>,</w:t>
      </w:r>
      <w:r w:rsidR="003F2A0A" w:rsidRPr="00577043">
        <w:rPr>
          <w:rFonts w:eastAsia="Times New Roman" w:cs="Times New Roman"/>
          <w:color w:val="000000"/>
          <w:lang w:eastAsia="da-DK"/>
        </w:rPr>
        <w:t xml:space="preserve"> tilføjes efter ”regional komités”:</w:t>
      </w:r>
    </w:p>
    <w:p w14:paraId="7FCB42D8" w14:textId="77777777" w:rsidR="003F2A0A" w:rsidRPr="00577043" w:rsidRDefault="003F2A0A" w:rsidP="00CB2276">
      <w:pPr>
        <w:rPr>
          <w:rFonts w:eastAsia="Times New Roman" w:cs="Times New Roman"/>
          <w:color w:val="000000"/>
          <w:lang w:eastAsia="da-DK"/>
        </w:rPr>
      </w:pPr>
      <w:r w:rsidRPr="00577043">
        <w:rPr>
          <w:rFonts w:eastAsia="Times New Roman" w:cs="Times New Roman"/>
          <w:color w:val="000000"/>
          <w:lang w:eastAsia="da-DK"/>
        </w:rPr>
        <w:t xml:space="preserve">   ”eller en videnskabsetisk lægemiddelkomités”.</w:t>
      </w:r>
    </w:p>
    <w:p w14:paraId="33D054C7" w14:textId="77777777" w:rsidR="00A138B8" w:rsidRPr="00577043" w:rsidRDefault="00A138B8" w:rsidP="003F2A0A">
      <w:pPr>
        <w:rPr>
          <w:rFonts w:eastAsia="Times New Roman" w:cs="Times New Roman"/>
          <w:b/>
          <w:color w:val="000000"/>
          <w:lang w:eastAsia="da-DK"/>
        </w:rPr>
      </w:pPr>
    </w:p>
    <w:p w14:paraId="5A5116F4" w14:textId="77777777" w:rsidR="003F2A0A" w:rsidRPr="00577043" w:rsidRDefault="00F9344C" w:rsidP="003F2A0A">
      <w:pPr>
        <w:rPr>
          <w:rFonts w:eastAsia="Times New Roman" w:cs="Times New Roman"/>
          <w:color w:val="000000"/>
          <w:lang w:eastAsia="da-DK"/>
        </w:rPr>
      </w:pPr>
      <w:r>
        <w:rPr>
          <w:rFonts w:eastAsia="Times New Roman" w:cs="Times New Roman"/>
          <w:b/>
          <w:color w:val="000000"/>
          <w:lang w:eastAsia="da-DK"/>
        </w:rPr>
        <w:t>24</w:t>
      </w:r>
      <w:r w:rsidR="003F2A0A" w:rsidRPr="00577043">
        <w:rPr>
          <w:rFonts w:eastAsia="Times New Roman" w:cs="Times New Roman"/>
          <w:b/>
          <w:color w:val="000000"/>
          <w:lang w:eastAsia="da-DK"/>
        </w:rPr>
        <w:t xml:space="preserve">. </w:t>
      </w:r>
      <w:r w:rsidR="003F2A0A" w:rsidRPr="00577043">
        <w:rPr>
          <w:rFonts w:eastAsia="Times New Roman" w:cs="Times New Roman"/>
          <w:color w:val="000000"/>
          <w:lang w:eastAsia="da-DK"/>
        </w:rPr>
        <w:t xml:space="preserve">I </w:t>
      </w:r>
      <w:r w:rsidR="003F2A0A" w:rsidRPr="00984FB8">
        <w:rPr>
          <w:rFonts w:eastAsia="Times New Roman" w:cs="Times New Roman"/>
          <w:i/>
          <w:color w:val="000000"/>
          <w:lang w:eastAsia="da-DK"/>
        </w:rPr>
        <w:t>§ 26, stk. 1, 2. pkt.</w:t>
      </w:r>
      <w:r w:rsidR="00143E34" w:rsidRPr="00577043">
        <w:rPr>
          <w:rFonts w:eastAsia="Times New Roman" w:cs="Times New Roman"/>
          <w:color w:val="000000"/>
          <w:lang w:eastAsia="da-DK"/>
        </w:rPr>
        <w:t>,</w:t>
      </w:r>
      <w:r w:rsidR="003F2A0A" w:rsidRPr="00577043">
        <w:rPr>
          <w:rFonts w:eastAsia="Times New Roman" w:cs="Times New Roman"/>
          <w:color w:val="000000"/>
          <w:lang w:eastAsia="da-DK"/>
        </w:rPr>
        <w:t xml:space="preserve"> tilføjes efter ”regional komités”:</w:t>
      </w:r>
    </w:p>
    <w:p w14:paraId="73EA8579" w14:textId="77777777" w:rsidR="003F2A0A" w:rsidRPr="00577043" w:rsidRDefault="003F2A0A" w:rsidP="003F2A0A">
      <w:pPr>
        <w:rPr>
          <w:rFonts w:eastAsia="Times New Roman" w:cs="Times New Roman"/>
          <w:color w:val="000000"/>
          <w:lang w:eastAsia="da-DK"/>
        </w:rPr>
      </w:pPr>
      <w:r w:rsidRPr="00577043">
        <w:rPr>
          <w:rFonts w:eastAsia="Times New Roman" w:cs="Times New Roman"/>
          <w:color w:val="000000"/>
          <w:lang w:eastAsia="da-DK"/>
        </w:rPr>
        <w:t xml:space="preserve">   ”eller en videnskabsetisk lægemiddelkomit</w:t>
      </w:r>
      <w:r w:rsidR="00FC0FCD" w:rsidRPr="00577043">
        <w:rPr>
          <w:rFonts w:eastAsia="Times New Roman" w:cs="Times New Roman"/>
          <w:color w:val="000000"/>
          <w:lang w:eastAsia="da-DK"/>
        </w:rPr>
        <w:t>é</w:t>
      </w:r>
      <w:r w:rsidRPr="00577043">
        <w:rPr>
          <w:rFonts w:eastAsia="Times New Roman" w:cs="Times New Roman"/>
          <w:color w:val="000000"/>
          <w:lang w:eastAsia="da-DK"/>
        </w:rPr>
        <w:t>”</w:t>
      </w:r>
      <w:r w:rsidR="0040431E" w:rsidRPr="00577043">
        <w:rPr>
          <w:rFonts w:eastAsia="Times New Roman" w:cs="Times New Roman"/>
          <w:color w:val="000000"/>
          <w:lang w:eastAsia="da-DK"/>
        </w:rPr>
        <w:t>.</w:t>
      </w:r>
      <w:r w:rsidRPr="00577043">
        <w:rPr>
          <w:rFonts w:eastAsia="Times New Roman" w:cs="Times New Roman"/>
          <w:color w:val="000000"/>
          <w:lang w:eastAsia="da-DK"/>
        </w:rPr>
        <w:t xml:space="preserve"> </w:t>
      </w:r>
    </w:p>
    <w:p w14:paraId="070F764F" w14:textId="77777777" w:rsidR="00A138B8" w:rsidRPr="00577043" w:rsidRDefault="00A138B8" w:rsidP="00CB2276">
      <w:pPr>
        <w:rPr>
          <w:rFonts w:eastAsia="Times New Roman" w:cs="Times New Roman"/>
          <w:b/>
          <w:color w:val="000000"/>
          <w:lang w:eastAsia="da-DK"/>
        </w:rPr>
      </w:pPr>
    </w:p>
    <w:p w14:paraId="773A7835" w14:textId="77777777" w:rsidR="00F14C0B" w:rsidRPr="00577043" w:rsidRDefault="00F9344C" w:rsidP="00CB2276">
      <w:pPr>
        <w:rPr>
          <w:rFonts w:eastAsia="Times New Roman" w:cs="Times New Roman"/>
          <w:color w:val="000000"/>
          <w:lang w:eastAsia="da-DK"/>
        </w:rPr>
      </w:pPr>
      <w:r>
        <w:rPr>
          <w:rFonts w:eastAsia="Times New Roman" w:cs="Times New Roman"/>
          <w:b/>
          <w:color w:val="000000"/>
          <w:lang w:eastAsia="da-DK"/>
        </w:rPr>
        <w:t>25</w:t>
      </w:r>
      <w:r w:rsidR="007A74E9" w:rsidRPr="00577043">
        <w:rPr>
          <w:rFonts w:eastAsia="Times New Roman" w:cs="Times New Roman"/>
          <w:b/>
          <w:color w:val="000000"/>
          <w:lang w:eastAsia="da-DK"/>
        </w:rPr>
        <w:t xml:space="preserve">. </w:t>
      </w:r>
      <w:r w:rsidR="007A74E9" w:rsidRPr="00577043">
        <w:rPr>
          <w:rFonts w:eastAsia="Times New Roman" w:cs="Times New Roman"/>
          <w:color w:val="000000"/>
          <w:lang w:eastAsia="da-DK"/>
        </w:rPr>
        <w:t xml:space="preserve">I </w:t>
      </w:r>
      <w:r w:rsidR="007A74E9" w:rsidRPr="00984FB8">
        <w:rPr>
          <w:rFonts w:eastAsia="Times New Roman" w:cs="Times New Roman"/>
          <w:i/>
          <w:color w:val="000000"/>
          <w:lang w:eastAsia="da-DK"/>
        </w:rPr>
        <w:t>§ 27, stk. 1</w:t>
      </w:r>
      <w:r w:rsidR="007A74E9" w:rsidRPr="00577043">
        <w:rPr>
          <w:rFonts w:eastAsia="Times New Roman" w:cs="Times New Roman"/>
          <w:color w:val="000000"/>
          <w:lang w:eastAsia="da-DK"/>
        </w:rPr>
        <w:t>, udgår ”</w:t>
      </w:r>
      <w:r w:rsidR="00620E47" w:rsidRPr="00577043">
        <w:rPr>
          <w:rFonts w:eastAsia="Times New Roman" w:cs="Times New Roman"/>
          <w:color w:val="000000"/>
          <w:lang w:eastAsia="da-DK"/>
        </w:rPr>
        <w:t>k</w:t>
      </w:r>
      <w:r w:rsidR="007A74E9" w:rsidRPr="00577043">
        <w:rPr>
          <w:rFonts w:eastAsia="Times New Roman" w:cs="Times New Roman"/>
          <w:color w:val="000000"/>
          <w:lang w:eastAsia="da-DK"/>
        </w:rPr>
        <w:t>liniske forsøg med lægemidler eller” og ”lov om lægemidler henholdsvis”.</w:t>
      </w:r>
    </w:p>
    <w:p w14:paraId="19227C59" w14:textId="77777777" w:rsidR="00A138B8" w:rsidRPr="00577043" w:rsidRDefault="00A138B8" w:rsidP="00620E47">
      <w:pPr>
        <w:rPr>
          <w:rFonts w:eastAsia="Times New Roman" w:cs="Times New Roman"/>
          <w:b/>
          <w:color w:val="000000"/>
          <w:lang w:eastAsia="da-DK"/>
        </w:rPr>
      </w:pPr>
    </w:p>
    <w:p w14:paraId="5B0915CE" w14:textId="77777777" w:rsidR="00620E47" w:rsidRPr="00577043" w:rsidRDefault="00F9344C" w:rsidP="00620E47">
      <w:pPr>
        <w:rPr>
          <w:rFonts w:eastAsia="Times New Roman" w:cs="Times New Roman"/>
          <w:color w:val="000000"/>
          <w:lang w:eastAsia="da-DK"/>
        </w:rPr>
      </w:pPr>
      <w:r>
        <w:rPr>
          <w:rFonts w:eastAsia="Times New Roman" w:cs="Times New Roman"/>
          <w:b/>
          <w:color w:val="000000"/>
          <w:lang w:eastAsia="da-DK"/>
        </w:rPr>
        <w:t>26</w:t>
      </w:r>
      <w:r w:rsidR="00620E47" w:rsidRPr="00577043">
        <w:rPr>
          <w:rFonts w:eastAsia="Times New Roman" w:cs="Times New Roman"/>
          <w:b/>
          <w:color w:val="000000"/>
          <w:lang w:eastAsia="da-DK"/>
        </w:rPr>
        <w:t xml:space="preserve">. </w:t>
      </w:r>
      <w:r w:rsidR="00620E47" w:rsidRPr="00577043">
        <w:rPr>
          <w:rFonts w:eastAsia="Times New Roman" w:cs="Times New Roman"/>
          <w:color w:val="000000"/>
          <w:lang w:eastAsia="da-DK"/>
        </w:rPr>
        <w:t xml:space="preserve">§ </w:t>
      </w:r>
      <w:r w:rsidR="00620E47" w:rsidRPr="00984FB8">
        <w:rPr>
          <w:rFonts w:eastAsia="Times New Roman" w:cs="Times New Roman"/>
          <w:i/>
          <w:color w:val="000000"/>
          <w:lang w:eastAsia="da-DK"/>
        </w:rPr>
        <w:t>28, stk. 1</w:t>
      </w:r>
      <w:r w:rsidR="00620E47" w:rsidRPr="00577043">
        <w:rPr>
          <w:rFonts w:eastAsia="Times New Roman" w:cs="Times New Roman"/>
          <w:color w:val="000000"/>
          <w:lang w:eastAsia="da-DK"/>
        </w:rPr>
        <w:t xml:space="preserve">, </w:t>
      </w:r>
      <w:r w:rsidR="007526EC" w:rsidRPr="00577043">
        <w:rPr>
          <w:rFonts w:eastAsia="Times New Roman" w:cs="Times New Roman"/>
          <w:color w:val="000000"/>
          <w:lang w:eastAsia="da-DK"/>
        </w:rPr>
        <w:t>affattes således:</w:t>
      </w:r>
    </w:p>
    <w:p w14:paraId="069677E0" w14:textId="77777777" w:rsidR="007526EC" w:rsidRPr="00577043" w:rsidRDefault="007526EC" w:rsidP="00620E47">
      <w:pPr>
        <w:rPr>
          <w:rFonts w:eastAsia="Times New Roman" w:cs="Times New Roman"/>
          <w:color w:val="000000"/>
          <w:lang w:eastAsia="da-DK"/>
        </w:rPr>
      </w:pPr>
      <w:r w:rsidRPr="00577043">
        <w:rPr>
          <w:rFonts w:eastAsia="Times New Roman" w:cs="Times New Roman"/>
          <w:color w:val="000000"/>
          <w:lang w:eastAsia="da-DK"/>
        </w:rPr>
        <w:lastRenderedPageBreak/>
        <w:t xml:space="preserve">   ”Den regionale komité eller videnskabsetiske lægemiddelkomité, der har meddelt tilladelse til gennemførelse af et forskningsprojekt fører tilsyn med, at et godkendt sundhedsvidenskabeligt forskningsprojekt, udføres i ove</w:t>
      </w:r>
      <w:r w:rsidR="007B6010" w:rsidRPr="00577043">
        <w:rPr>
          <w:rFonts w:eastAsia="Times New Roman" w:cs="Times New Roman"/>
          <w:color w:val="000000"/>
          <w:lang w:eastAsia="da-DK"/>
        </w:rPr>
        <w:t>r</w:t>
      </w:r>
      <w:r w:rsidRPr="00577043">
        <w:rPr>
          <w:rFonts w:eastAsia="Times New Roman" w:cs="Times New Roman"/>
          <w:color w:val="000000"/>
          <w:lang w:eastAsia="da-DK"/>
        </w:rPr>
        <w:t>ensstemmelse med denne lov. Er tilladelsen meddelt af den nationale komité, udøves tilsynet af den regionale komité for det områd</w:t>
      </w:r>
      <w:r w:rsidR="00703EF3" w:rsidRPr="00577043">
        <w:rPr>
          <w:rFonts w:eastAsia="Times New Roman" w:cs="Times New Roman"/>
          <w:color w:val="000000"/>
          <w:lang w:eastAsia="da-DK"/>
        </w:rPr>
        <w:t xml:space="preserve">e, hvori den forsøgsansvarlige </w:t>
      </w:r>
      <w:r w:rsidRPr="00577043">
        <w:rPr>
          <w:rFonts w:eastAsia="Times New Roman" w:cs="Times New Roman"/>
          <w:color w:val="000000"/>
          <w:lang w:eastAsia="da-DK"/>
        </w:rPr>
        <w:t>h</w:t>
      </w:r>
      <w:r w:rsidR="00703EF3" w:rsidRPr="00577043">
        <w:rPr>
          <w:rFonts w:eastAsia="Times New Roman" w:cs="Times New Roman"/>
          <w:color w:val="000000"/>
          <w:lang w:eastAsia="da-DK"/>
        </w:rPr>
        <w:t>a</w:t>
      </w:r>
      <w:r w:rsidRPr="00577043">
        <w:rPr>
          <w:rFonts w:eastAsia="Times New Roman" w:cs="Times New Roman"/>
          <w:color w:val="000000"/>
          <w:lang w:eastAsia="da-DK"/>
        </w:rPr>
        <w:t>r sit virke, medmindre den pågældende regionale komit</w:t>
      </w:r>
      <w:r w:rsidR="00F01021" w:rsidRPr="00577043">
        <w:rPr>
          <w:rFonts w:eastAsia="Times New Roman" w:cs="Times New Roman"/>
          <w:color w:val="000000"/>
          <w:lang w:eastAsia="da-DK"/>
        </w:rPr>
        <w:t>é på grund af forskni</w:t>
      </w:r>
      <w:r w:rsidRPr="00577043">
        <w:rPr>
          <w:rFonts w:eastAsia="Times New Roman" w:cs="Times New Roman"/>
          <w:color w:val="000000"/>
          <w:lang w:eastAsia="da-DK"/>
        </w:rPr>
        <w:t>n</w:t>
      </w:r>
      <w:r w:rsidR="00F01021" w:rsidRPr="00577043">
        <w:rPr>
          <w:rFonts w:eastAsia="Times New Roman" w:cs="Times New Roman"/>
          <w:color w:val="000000"/>
          <w:lang w:eastAsia="da-DK"/>
        </w:rPr>
        <w:t>g</w:t>
      </w:r>
      <w:r w:rsidR="00703EF3" w:rsidRPr="00577043">
        <w:rPr>
          <w:rFonts w:eastAsia="Times New Roman" w:cs="Times New Roman"/>
          <w:color w:val="000000"/>
          <w:lang w:eastAsia="da-DK"/>
        </w:rPr>
        <w:t>sprojektets kompleksi</w:t>
      </w:r>
      <w:r w:rsidRPr="00577043">
        <w:rPr>
          <w:rFonts w:eastAsia="Times New Roman" w:cs="Times New Roman"/>
          <w:color w:val="000000"/>
          <w:lang w:eastAsia="da-DK"/>
        </w:rPr>
        <w:t>tet anmoder den nationale komité om at varet</w:t>
      </w:r>
      <w:r w:rsidR="007B6010" w:rsidRPr="00577043">
        <w:rPr>
          <w:rFonts w:eastAsia="Times New Roman" w:cs="Times New Roman"/>
          <w:color w:val="000000"/>
          <w:lang w:eastAsia="da-DK"/>
        </w:rPr>
        <w:t>a</w:t>
      </w:r>
      <w:r w:rsidRPr="00577043">
        <w:rPr>
          <w:rFonts w:eastAsia="Times New Roman" w:cs="Times New Roman"/>
          <w:color w:val="000000"/>
          <w:lang w:eastAsia="da-DK"/>
        </w:rPr>
        <w:t>ge t</w:t>
      </w:r>
      <w:r w:rsidR="00F01021" w:rsidRPr="00577043">
        <w:rPr>
          <w:rFonts w:eastAsia="Times New Roman" w:cs="Times New Roman"/>
          <w:color w:val="000000"/>
          <w:lang w:eastAsia="da-DK"/>
        </w:rPr>
        <w:t>ilsynet med et konkret forskning</w:t>
      </w:r>
      <w:r w:rsidRPr="00577043">
        <w:rPr>
          <w:rFonts w:eastAsia="Times New Roman" w:cs="Times New Roman"/>
          <w:color w:val="000000"/>
          <w:lang w:eastAsia="da-DK"/>
        </w:rPr>
        <w:t>sprojekt.”</w:t>
      </w:r>
    </w:p>
    <w:p w14:paraId="55817F66" w14:textId="77777777" w:rsidR="00A138B8" w:rsidRPr="00577043" w:rsidRDefault="00A138B8" w:rsidP="00620E47">
      <w:pPr>
        <w:rPr>
          <w:rFonts w:eastAsia="Times New Roman" w:cs="Times New Roman"/>
          <w:b/>
          <w:color w:val="000000"/>
          <w:lang w:eastAsia="da-DK"/>
        </w:rPr>
      </w:pPr>
    </w:p>
    <w:p w14:paraId="640160A4" w14:textId="77777777" w:rsidR="00620E47" w:rsidRPr="00577043" w:rsidRDefault="00F9344C" w:rsidP="00620E47">
      <w:pPr>
        <w:rPr>
          <w:rFonts w:eastAsia="Times New Roman" w:cs="Times New Roman"/>
          <w:color w:val="000000"/>
          <w:lang w:eastAsia="da-DK"/>
        </w:rPr>
      </w:pPr>
      <w:r>
        <w:rPr>
          <w:rFonts w:eastAsia="Times New Roman" w:cs="Times New Roman"/>
          <w:b/>
          <w:color w:val="000000"/>
          <w:lang w:eastAsia="da-DK"/>
        </w:rPr>
        <w:t>27</w:t>
      </w:r>
      <w:r w:rsidR="00620E47" w:rsidRPr="00577043">
        <w:rPr>
          <w:rFonts w:eastAsia="Times New Roman" w:cs="Times New Roman"/>
          <w:b/>
          <w:color w:val="000000"/>
          <w:lang w:eastAsia="da-DK"/>
        </w:rPr>
        <w:t xml:space="preserve">. </w:t>
      </w:r>
      <w:r w:rsidR="00620E47" w:rsidRPr="00577043">
        <w:rPr>
          <w:rFonts w:eastAsia="Times New Roman" w:cs="Times New Roman"/>
          <w:color w:val="000000"/>
          <w:lang w:eastAsia="da-DK"/>
        </w:rPr>
        <w:t xml:space="preserve">I </w:t>
      </w:r>
      <w:r w:rsidR="00620E47" w:rsidRPr="00846FCA">
        <w:rPr>
          <w:rFonts w:eastAsia="Times New Roman" w:cs="Times New Roman"/>
          <w:i/>
          <w:color w:val="000000"/>
          <w:lang w:eastAsia="da-DK"/>
        </w:rPr>
        <w:t>§ 28, stk. 3</w:t>
      </w:r>
      <w:r w:rsidR="00620E47" w:rsidRPr="00577043">
        <w:rPr>
          <w:rFonts w:eastAsia="Times New Roman" w:cs="Times New Roman"/>
          <w:color w:val="000000"/>
          <w:lang w:eastAsia="da-DK"/>
        </w:rPr>
        <w:t>, udgår ”der ikke angår kliniske forsøg med lægemidler omfattet af lov om lægemidler,”.</w:t>
      </w:r>
    </w:p>
    <w:p w14:paraId="23E565B2" w14:textId="77777777" w:rsidR="00A138B8" w:rsidRPr="00577043" w:rsidRDefault="00A138B8" w:rsidP="00CB2276">
      <w:pPr>
        <w:rPr>
          <w:rFonts w:eastAsia="Times New Roman" w:cs="Times New Roman"/>
          <w:b/>
          <w:color w:val="000000"/>
          <w:lang w:eastAsia="da-DK"/>
        </w:rPr>
      </w:pPr>
    </w:p>
    <w:p w14:paraId="327B29A4" w14:textId="77777777" w:rsidR="00620E47" w:rsidRPr="00577043" w:rsidRDefault="00F9344C" w:rsidP="00CB2276">
      <w:pPr>
        <w:rPr>
          <w:rFonts w:eastAsia="Times New Roman" w:cs="Times New Roman"/>
          <w:color w:val="000000"/>
          <w:lang w:eastAsia="da-DK"/>
        </w:rPr>
      </w:pPr>
      <w:r>
        <w:rPr>
          <w:rFonts w:eastAsia="Times New Roman" w:cs="Times New Roman"/>
          <w:b/>
          <w:color w:val="000000"/>
          <w:lang w:eastAsia="da-DK"/>
        </w:rPr>
        <w:t>28</w:t>
      </w:r>
      <w:r w:rsidR="002F3431" w:rsidRPr="00577043">
        <w:rPr>
          <w:rFonts w:eastAsia="Times New Roman" w:cs="Times New Roman"/>
          <w:b/>
          <w:color w:val="000000"/>
          <w:lang w:eastAsia="da-DK"/>
        </w:rPr>
        <w:t>.</w:t>
      </w:r>
      <w:r w:rsidR="002F3431" w:rsidRPr="00577043">
        <w:rPr>
          <w:rFonts w:eastAsia="Times New Roman" w:cs="Times New Roman"/>
          <w:color w:val="000000"/>
          <w:lang w:eastAsia="da-DK"/>
        </w:rPr>
        <w:t xml:space="preserve"> </w:t>
      </w:r>
      <w:r w:rsidR="002F3431" w:rsidRPr="00846FCA">
        <w:rPr>
          <w:rFonts w:eastAsia="Times New Roman" w:cs="Times New Roman"/>
          <w:i/>
          <w:color w:val="000000"/>
          <w:lang w:eastAsia="da-DK"/>
        </w:rPr>
        <w:t>§ 30, stk. 1, 2. pkt.</w:t>
      </w:r>
      <w:r w:rsidR="00143E34" w:rsidRPr="00577043">
        <w:rPr>
          <w:rFonts w:eastAsia="Times New Roman" w:cs="Times New Roman"/>
          <w:color w:val="000000"/>
          <w:lang w:eastAsia="da-DK"/>
        </w:rPr>
        <w:t>,</w:t>
      </w:r>
      <w:r w:rsidR="002F3431" w:rsidRPr="00577043">
        <w:rPr>
          <w:rFonts w:eastAsia="Times New Roman" w:cs="Times New Roman"/>
          <w:color w:val="000000"/>
          <w:lang w:eastAsia="da-DK"/>
        </w:rPr>
        <w:t xml:space="preserve"> affattes således:</w:t>
      </w:r>
    </w:p>
    <w:p w14:paraId="39F95976" w14:textId="77777777" w:rsidR="002F3431" w:rsidRPr="00577043" w:rsidRDefault="002F3431" w:rsidP="00CB2276">
      <w:pPr>
        <w:rPr>
          <w:rFonts w:eastAsia="Times New Roman" w:cs="Times New Roman"/>
          <w:color w:val="000000"/>
          <w:lang w:eastAsia="da-DK"/>
        </w:rPr>
      </w:pPr>
      <w:r w:rsidRPr="00577043">
        <w:rPr>
          <w:rFonts w:eastAsia="Times New Roman" w:cs="Times New Roman"/>
          <w:color w:val="000000"/>
          <w:lang w:eastAsia="da-DK"/>
        </w:rPr>
        <w:t xml:space="preserve">   ”Underretningspligten omfatter endvidere alvorlige hændelser”.</w:t>
      </w:r>
    </w:p>
    <w:p w14:paraId="2DE9D863" w14:textId="77777777" w:rsidR="00A138B8" w:rsidRPr="00577043" w:rsidRDefault="00A138B8" w:rsidP="008D0302">
      <w:pPr>
        <w:rPr>
          <w:rFonts w:eastAsia="Times New Roman" w:cs="Times New Roman"/>
          <w:b/>
          <w:color w:val="000000"/>
          <w:lang w:eastAsia="da-DK"/>
        </w:rPr>
      </w:pPr>
    </w:p>
    <w:p w14:paraId="7F1F239B" w14:textId="77777777" w:rsidR="008D0302" w:rsidRPr="00577043" w:rsidRDefault="00F9344C" w:rsidP="008D0302">
      <w:pPr>
        <w:rPr>
          <w:rFonts w:eastAsia="Times New Roman" w:cs="Times New Roman"/>
          <w:color w:val="000000"/>
          <w:lang w:eastAsia="da-DK"/>
        </w:rPr>
      </w:pPr>
      <w:r>
        <w:rPr>
          <w:rFonts w:eastAsia="Times New Roman" w:cs="Times New Roman"/>
          <w:b/>
          <w:color w:val="000000"/>
          <w:lang w:eastAsia="da-DK"/>
        </w:rPr>
        <w:t>29</w:t>
      </w:r>
      <w:r w:rsidR="008D0302" w:rsidRPr="00577043">
        <w:rPr>
          <w:rFonts w:cs="Times New Roman"/>
          <w:b/>
          <w:lang w:eastAsia="da-DK"/>
        </w:rPr>
        <w:t xml:space="preserve">. </w:t>
      </w:r>
      <w:r w:rsidR="008D0302" w:rsidRPr="00577043">
        <w:rPr>
          <w:rFonts w:cs="Times New Roman"/>
          <w:lang w:eastAsia="da-DK"/>
        </w:rPr>
        <w:t>I</w:t>
      </w:r>
      <w:r w:rsidR="008D0302" w:rsidRPr="00577043">
        <w:rPr>
          <w:rFonts w:cs="Times New Roman"/>
          <w:b/>
          <w:lang w:eastAsia="da-DK"/>
        </w:rPr>
        <w:t xml:space="preserve"> </w:t>
      </w:r>
      <w:r w:rsidR="008D0302" w:rsidRPr="00846FCA">
        <w:rPr>
          <w:rFonts w:eastAsia="Times New Roman" w:cs="Times New Roman"/>
          <w:i/>
          <w:color w:val="000000"/>
          <w:lang w:eastAsia="da-DK"/>
        </w:rPr>
        <w:t>§ 30, stk. 2, 1. pkt.</w:t>
      </w:r>
      <w:r w:rsidR="00143E34" w:rsidRPr="00577043">
        <w:rPr>
          <w:rFonts w:eastAsia="Times New Roman" w:cs="Times New Roman"/>
          <w:color w:val="000000"/>
          <w:lang w:eastAsia="da-DK"/>
        </w:rPr>
        <w:t>,</w:t>
      </w:r>
      <w:r w:rsidR="008D0302" w:rsidRPr="00577043">
        <w:rPr>
          <w:rFonts w:eastAsia="Times New Roman" w:cs="Times New Roman"/>
          <w:color w:val="000000"/>
          <w:lang w:eastAsia="da-DK"/>
        </w:rPr>
        <w:t xml:space="preserve"> ændres ”alvorlige uventede bivirkninger” til ”alvorlige bivirkninger”.</w:t>
      </w:r>
    </w:p>
    <w:p w14:paraId="68A5E2BF" w14:textId="77777777" w:rsidR="00A138B8" w:rsidRPr="00577043" w:rsidRDefault="00A138B8" w:rsidP="00CB2276">
      <w:pPr>
        <w:rPr>
          <w:rFonts w:eastAsia="Times New Roman" w:cs="Times New Roman"/>
          <w:color w:val="000000"/>
          <w:lang w:eastAsia="da-DK"/>
        </w:rPr>
      </w:pPr>
    </w:p>
    <w:p w14:paraId="3EF8B9E4" w14:textId="77777777" w:rsidR="008D0302" w:rsidRPr="00577043" w:rsidRDefault="00F9344C" w:rsidP="00CB2276">
      <w:pPr>
        <w:rPr>
          <w:rFonts w:eastAsia="Times New Roman" w:cs="Times New Roman"/>
          <w:color w:val="000000"/>
          <w:lang w:eastAsia="da-DK"/>
        </w:rPr>
      </w:pPr>
      <w:r>
        <w:rPr>
          <w:rFonts w:eastAsia="Times New Roman" w:cs="Times New Roman"/>
          <w:b/>
          <w:color w:val="000000"/>
          <w:lang w:eastAsia="da-DK"/>
        </w:rPr>
        <w:t>30</w:t>
      </w:r>
      <w:r w:rsidR="008D0302" w:rsidRPr="00577043">
        <w:rPr>
          <w:rFonts w:eastAsia="Times New Roman" w:cs="Times New Roman"/>
          <w:b/>
          <w:color w:val="000000"/>
          <w:lang w:eastAsia="da-DK"/>
        </w:rPr>
        <w:t>.</w:t>
      </w:r>
      <w:r w:rsidR="008D0302" w:rsidRPr="00577043">
        <w:rPr>
          <w:rFonts w:eastAsia="Times New Roman" w:cs="Times New Roman"/>
          <w:color w:val="000000"/>
          <w:lang w:eastAsia="da-DK"/>
        </w:rPr>
        <w:t xml:space="preserve"> </w:t>
      </w:r>
      <w:r w:rsidR="008D0302" w:rsidRPr="00846FCA">
        <w:rPr>
          <w:rFonts w:eastAsia="Times New Roman" w:cs="Times New Roman"/>
          <w:i/>
          <w:color w:val="000000"/>
          <w:lang w:eastAsia="da-DK"/>
        </w:rPr>
        <w:t>§ 30, stk. 2, 2. pkt.</w:t>
      </w:r>
      <w:r w:rsidR="00143E34" w:rsidRPr="00577043">
        <w:rPr>
          <w:rFonts w:eastAsia="Times New Roman" w:cs="Times New Roman"/>
          <w:color w:val="000000"/>
          <w:lang w:eastAsia="da-DK"/>
        </w:rPr>
        <w:t>,</w:t>
      </w:r>
      <w:r w:rsidR="008D0302" w:rsidRPr="00577043">
        <w:rPr>
          <w:rFonts w:eastAsia="Times New Roman" w:cs="Times New Roman"/>
          <w:color w:val="000000"/>
          <w:lang w:eastAsia="da-DK"/>
        </w:rPr>
        <w:t xml:space="preserve"> affattes således:</w:t>
      </w:r>
    </w:p>
    <w:p w14:paraId="67002702" w14:textId="77777777" w:rsidR="00A138B8" w:rsidRPr="00577043" w:rsidRDefault="008D0302" w:rsidP="00A318F3">
      <w:pPr>
        <w:rPr>
          <w:rFonts w:eastAsia="Times New Roman" w:cs="Times New Roman"/>
          <w:color w:val="000000"/>
          <w:lang w:eastAsia="da-DK"/>
        </w:rPr>
      </w:pPr>
      <w:r w:rsidRPr="00577043">
        <w:rPr>
          <w:rFonts w:eastAsia="Times New Roman" w:cs="Times New Roman"/>
          <w:color w:val="000000"/>
          <w:lang w:eastAsia="da-DK"/>
        </w:rPr>
        <w:t xml:space="preserve">   ”Underretnings- og oplysningspligten omfatter endvidere alvorlige hændelser.”</w:t>
      </w:r>
    </w:p>
    <w:p w14:paraId="0BE56700" w14:textId="77777777" w:rsidR="00A318F3" w:rsidRPr="00577043" w:rsidRDefault="00A318F3" w:rsidP="00A318F3">
      <w:pPr>
        <w:rPr>
          <w:rFonts w:eastAsia="Times New Roman" w:cs="Times New Roman"/>
          <w:color w:val="000000"/>
          <w:lang w:eastAsia="da-DK"/>
        </w:rPr>
      </w:pPr>
    </w:p>
    <w:p w14:paraId="7AAD145B" w14:textId="77777777" w:rsidR="00CF0A66" w:rsidRPr="00577043" w:rsidRDefault="00F9344C" w:rsidP="005D077A">
      <w:pPr>
        <w:rPr>
          <w:rFonts w:eastAsia="Times New Roman" w:cs="Times New Roman"/>
          <w:color w:val="000000"/>
          <w:lang w:eastAsia="da-DK"/>
        </w:rPr>
      </w:pPr>
      <w:r>
        <w:rPr>
          <w:rFonts w:eastAsia="Times New Roman" w:cs="Times New Roman"/>
          <w:b/>
          <w:color w:val="000000"/>
          <w:lang w:eastAsia="da-DK"/>
        </w:rPr>
        <w:t>31</w:t>
      </w:r>
      <w:r w:rsidR="00F14C0B" w:rsidRPr="00577043">
        <w:rPr>
          <w:rFonts w:eastAsia="Times New Roman" w:cs="Times New Roman"/>
          <w:color w:val="000000"/>
          <w:lang w:eastAsia="da-DK"/>
        </w:rPr>
        <w:t xml:space="preserve">. </w:t>
      </w:r>
      <w:r w:rsidR="00E86C45" w:rsidRPr="00577043">
        <w:rPr>
          <w:rFonts w:eastAsia="Times New Roman" w:cs="Times New Roman"/>
          <w:color w:val="000000"/>
          <w:lang w:eastAsia="da-DK"/>
        </w:rPr>
        <w:t xml:space="preserve"> I </w:t>
      </w:r>
      <w:r w:rsidR="00E86C45" w:rsidRPr="00846FCA">
        <w:rPr>
          <w:rFonts w:eastAsia="Times New Roman" w:cs="Times New Roman"/>
          <w:i/>
          <w:color w:val="000000"/>
          <w:lang w:eastAsia="da-DK"/>
        </w:rPr>
        <w:t xml:space="preserve">§ 32, stk. </w:t>
      </w:r>
      <w:r w:rsidR="000225CB" w:rsidRPr="00846FCA">
        <w:rPr>
          <w:rFonts w:eastAsia="Times New Roman" w:cs="Times New Roman"/>
          <w:i/>
          <w:color w:val="000000"/>
          <w:lang w:eastAsia="da-DK"/>
        </w:rPr>
        <w:t>1</w:t>
      </w:r>
      <w:r w:rsidR="00143E34" w:rsidRPr="00577043">
        <w:rPr>
          <w:rFonts w:eastAsia="Times New Roman" w:cs="Times New Roman"/>
          <w:color w:val="000000"/>
          <w:lang w:eastAsia="da-DK"/>
        </w:rPr>
        <w:t>,</w:t>
      </w:r>
      <w:r w:rsidR="00E86C45" w:rsidRPr="00577043">
        <w:rPr>
          <w:rFonts w:eastAsia="Times New Roman" w:cs="Times New Roman"/>
          <w:color w:val="000000"/>
          <w:lang w:eastAsia="da-DK"/>
        </w:rPr>
        <w:t xml:space="preserve"> ersta</w:t>
      </w:r>
      <w:r w:rsidR="00216601" w:rsidRPr="00577043">
        <w:rPr>
          <w:rFonts w:eastAsia="Times New Roman" w:cs="Times New Roman"/>
          <w:color w:val="000000"/>
          <w:lang w:eastAsia="da-DK"/>
        </w:rPr>
        <w:t>ttes ”de regionale komiteer” af</w:t>
      </w:r>
      <w:r w:rsidR="00B1322C" w:rsidRPr="00577043">
        <w:rPr>
          <w:rFonts w:eastAsia="Times New Roman" w:cs="Times New Roman"/>
          <w:color w:val="000000"/>
          <w:lang w:eastAsia="da-DK"/>
        </w:rPr>
        <w:t xml:space="preserve"> </w:t>
      </w:r>
      <w:r w:rsidR="00E86C45" w:rsidRPr="00577043">
        <w:rPr>
          <w:rFonts w:eastAsia="Times New Roman" w:cs="Times New Roman"/>
          <w:color w:val="000000"/>
          <w:lang w:eastAsia="da-DK"/>
        </w:rPr>
        <w:t>”de regionale videnskabsetiske komiteer og de videnskabsetiske lægemiddelkomiteer”.</w:t>
      </w:r>
    </w:p>
    <w:p w14:paraId="5CF2F173" w14:textId="77777777" w:rsidR="00E3264B" w:rsidRPr="00577043" w:rsidRDefault="00E3264B" w:rsidP="002F6378">
      <w:pPr>
        <w:rPr>
          <w:rFonts w:eastAsia="Times New Roman" w:cs="Times New Roman"/>
          <w:color w:val="000000"/>
          <w:lang w:eastAsia="da-DK"/>
        </w:rPr>
      </w:pPr>
    </w:p>
    <w:p w14:paraId="6F25B57F" w14:textId="77777777" w:rsidR="002F6378" w:rsidRPr="00577043" w:rsidRDefault="00F9344C" w:rsidP="002F6378">
      <w:pPr>
        <w:rPr>
          <w:rFonts w:eastAsia="Times New Roman" w:cs="Times New Roman"/>
          <w:color w:val="000000"/>
          <w:lang w:eastAsia="da-DK"/>
        </w:rPr>
      </w:pPr>
      <w:r>
        <w:rPr>
          <w:rFonts w:eastAsia="Times New Roman" w:cs="Times New Roman"/>
          <w:b/>
          <w:color w:val="000000"/>
          <w:lang w:eastAsia="da-DK"/>
        </w:rPr>
        <w:t>32</w:t>
      </w:r>
      <w:r w:rsidR="002F6378" w:rsidRPr="00577043">
        <w:rPr>
          <w:rFonts w:eastAsia="Times New Roman" w:cs="Times New Roman"/>
          <w:b/>
          <w:color w:val="000000"/>
          <w:lang w:eastAsia="da-DK"/>
        </w:rPr>
        <w:t xml:space="preserve">. </w:t>
      </w:r>
      <w:r w:rsidR="002F6378" w:rsidRPr="00577043">
        <w:rPr>
          <w:rFonts w:eastAsia="Times New Roman" w:cs="Times New Roman"/>
          <w:color w:val="000000"/>
          <w:lang w:eastAsia="da-DK"/>
        </w:rPr>
        <w:t>I</w:t>
      </w:r>
      <w:r w:rsidR="002F6378" w:rsidRPr="00577043">
        <w:rPr>
          <w:rFonts w:eastAsia="Times New Roman" w:cs="Times New Roman"/>
          <w:b/>
          <w:color w:val="000000"/>
          <w:lang w:eastAsia="da-DK"/>
        </w:rPr>
        <w:t xml:space="preserve"> </w:t>
      </w:r>
      <w:r w:rsidR="002F6378" w:rsidRPr="00B902E8">
        <w:rPr>
          <w:rFonts w:eastAsia="Times New Roman" w:cs="Times New Roman"/>
          <w:i/>
          <w:color w:val="000000"/>
          <w:lang w:eastAsia="da-DK"/>
        </w:rPr>
        <w:t>§ 34</w:t>
      </w:r>
      <w:r w:rsidR="002F6378" w:rsidRPr="00577043">
        <w:rPr>
          <w:rFonts w:eastAsia="Times New Roman" w:cs="Times New Roman"/>
          <w:color w:val="000000"/>
          <w:lang w:eastAsia="da-DK"/>
        </w:rPr>
        <w:t xml:space="preserve"> indsættes efter ”de regionale komiteer”:</w:t>
      </w:r>
    </w:p>
    <w:p w14:paraId="14B0B87C" w14:textId="77777777" w:rsidR="002F6378" w:rsidRPr="00577043" w:rsidRDefault="002F6378" w:rsidP="002F6378">
      <w:pPr>
        <w:rPr>
          <w:rFonts w:eastAsia="Times New Roman" w:cs="Times New Roman"/>
          <w:color w:val="000000"/>
          <w:lang w:eastAsia="da-DK"/>
        </w:rPr>
      </w:pPr>
      <w:r w:rsidRPr="00577043">
        <w:rPr>
          <w:rFonts w:eastAsia="Times New Roman" w:cs="Times New Roman"/>
          <w:color w:val="000000"/>
          <w:lang w:eastAsia="da-DK"/>
        </w:rPr>
        <w:t>”, de videnskabsetiske lægemiddelkomiteer”.</w:t>
      </w:r>
    </w:p>
    <w:p w14:paraId="5AA21D86" w14:textId="77777777" w:rsidR="00554760" w:rsidRPr="00577043" w:rsidRDefault="00554760" w:rsidP="00CB2276">
      <w:pPr>
        <w:rPr>
          <w:rFonts w:eastAsia="Times New Roman" w:cs="Times New Roman"/>
          <w:b/>
          <w:color w:val="000000"/>
          <w:lang w:eastAsia="da-DK"/>
        </w:rPr>
      </w:pPr>
    </w:p>
    <w:p w14:paraId="18538B87" w14:textId="77777777" w:rsidR="00505B4F" w:rsidRPr="00577043" w:rsidRDefault="00F9344C" w:rsidP="00CB2276">
      <w:pPr>
        <w:rPr>
          <w:rFonts w:eastAsia="Times New Roman" w:cs="Times New Roman"/>
          <w:color w:val="000000"/>
          <w:lang w:eastAsia="da-DK"/>
        </w:rPr>
      </w:pPr>
      <w:r>
        <w:rPr>
          <w:rFonts w:eastAsia="Times New Roman" w:cs="Times New Roman"/>
          <w:b/>
          <w:color w:val="000000"/>
          <w:lang w:eastAsia="da-DK"/>
        </w:rPr>
        <w:t>33</w:t>
      </w:r>
      <w:r w:rsidR="00D074AE" w:rsidRPr="00577043">
        <w:rPr>
          <w:rFonts w:eastAsia="Times New Roman" w:cs="Times New Roman"/>
          <w:b/>
          <w:color w:val="000000"/>
          <w:lang w:eastAsia="da-DK"/>
        </w:rPr>
        <w:t>.</w:t>
      </w:r>
      <w:r w:rsidR="00505B4F" w:rsidRPr="00577043">
        <w:rPr>
          <w:rFonts w:eastAsia="Times New Roman" w:cs="Times New Roman"/>
          <w:b/>
          <w:color w:val="000000"/>
          <w:lang w:eastAsia="da-DK"/>
        </w:rPr>
        <w:t xml:space="preserve"> </w:t>
      </w:r>
      <w:r w:rsidR="00505B4F" w:rsidRPr="00577043">
        <w:rPr>
          <w:rFonts w:eastAsia="Times New Roman" w:cs="Times New Roman"/>
          <w:color w:val="000000"/>
          <w:lang w:eastAsia="da-DK"/>
        </w:rPr>
        <w:t xml:space="preserve">Efter </w:t>
      </w:r>
      <w:r w:rsidR="00505B4F" w:rsidRPr="00577043">
        <w:rPr>
          <w:rFonts w:eastAsia="Times New Roman" w:cs="Times New Roman"/>
          <w:i/>
          <w:color w:val="000000"/>
          <w:lang w:eastAsia="da-DK"/>
        </w:rPr>
        <w:t xml:space="preserve">§ 41, stk. 1, </w:t>
      </w:r>
      <w:r w:rsidR="00505B4F" w:rsidRPr="00577043">
        <w:rPr>
          <w:rFonts w:eastAsia="Times New Roman" w:cs="Times New Roman"/>
          <w:color w:val="000000"/>
          <w:lang w:eastAsia="da-DK"/>
        </w:rPr>
        <w:t>indsættes som nr. 6:</w:t>
      </w:r>
    </w:p>
    <w:p w14:paraId="581C7875" w14:textId="77777777" w:rsidR="00505B4F" w:rsidRPr="00577043" w:rsidRDefault="00505B4F" w:rsidP="00CB2276">
      <w:pPr>
        <w:rPr>
          <w:rFonts w:eastAsia="Times New Roman" w:cs="Times New Roman"/>
          <w:color w:val="000000"/>
          <w:lang w:eastAsia="da-DK"/>
        </w:rPr>
      </w:pPr>
      <w:r w:rsidRPr="00577043">
        <w:rPr>
          <w:rFonts w:eastAsia="Times New Roman" w:cs="Times New Roman"/>
          <w:color w:val="000000"/>
          <w:lang w:eastAsia="da-DK"/>
        </w:rPr>
        <w:t xml:space="preserve">”Undlader at </w:t>
      </w:r>
      <w:r w:rsidR="00D27DD9" w:rsidRPr="00577043">
        <w:rPr>
          <w:rFonts w:eastAsia="Times New Roman" w:cs="Times New Roman"/>
          <w:color w:val="000000"/>
          <w:lang w:eastAsia="da-DK"/>
        </w:rPr>
        <w:t>efterkomme et påbud efter</w:t>
      </w:r>
      <w:r w:rsidRPr="00577043">
        <w:rPr>
          <w:rFonts w:eastAsia="Times New Roman" w:cs="Times New Roman"/>
          <w:color w:val="000000"/>
          <w:lang w:eastAsia="da-DK"/>
        </w:rPr>
        <w:t xml:space="preserve"> § 42, stk. 2, nr. 2.”</w:t>
      </w:r>
    </w:p>
    <w:p w14:paraId="5746061B" w14:textId="77777777" w:rsidR="00504846" w:rsidRPr="00577043" w:rsidRDefault="00505B4F" w:rsidP="00FB7AF0">
      <w:pPr>
        <w:rPr>
          <w:rFonts w:eastAsia="Times New Roman" w:cs="Times New Roman"/>
          <w:b/>
          <w:lang w:eastAsia="da-DK"/>
        </w:rPr>
      </w:pPr>
      <w:r w:rsidRPr="00577043">
        <w:rPr>
          <w:rFonts w:eastAsia="Times New Roman" w:cs="Times New Roman"/>
          <w:i/>
          <w:color w:val="000000"/>
          <w:lang w:eastAsia="da-DK"/>
        </w:rPr>
        <w:t xml:space="preserve"> </w:t>
      </w:r>
    </w:p>
    <w:p w14:paraId="34651F56" w14:textId="77777777" w:rsidR="00912953" w:rsidRPr="00577043" w:rsidRDefault="00F9344C" w:rsidP="00CB2276">
      <w:pPr>
        <w:rPr>
          <w:rFonts w:eastAsia="Times New Roman" w:cs="Times New Roman"/>
          <w:color w:val="000000"/>
          <w:lang w:eastAsia="da-DK"/>
        </w:rPr>
      </w:pPr>
      <w:r>
        <w:rPr>
          <w:rFonts w:eastAsia="Times New Roman" w:cs="Times New Roman"/>
          <w:b/>
          <w:color w:val="000000"/>
          <w:lang w:eastAsia="da-DK"/>
        </w:rPr>
        <w:t>34</w:t>
      </w:r>
      <w:r w:rsidR="004810D1" w:rsidRPr="00577043">
        <w:rPr>
          <w:rFonts w:eastAsia="Times New Roman" w:cs="Times New Roman"/>
          <w:b/>
          <w:color w:val="000000"/>
          <w:lang w:eastAsia="da-DK"/>
        </w:rPr>
        <w:t xml:space="preserve">. </w:t>
      </w:r>
      <w:r w:rsidR="00912953" w:rsidRPr="00577043">
        <w:rPr>
          <w:rFonts w:eastAsia="Times New Roman" w:cs="Times New Roman"/>
          <w:color w:val="000000"/>
          <w:lang w:eastAsia="da-DK"/>
        </w:rPr>
        <w:t>I</w:t>
      </w:r>
      <w:r w:rsidR="00912953" w:rsidRPr="00577043">
        <w:rPr>
          <w:rFonts w:eastAsia="Times New Roman" w:cs="Times New Roman"/>
          <w:b/>
          <w:color w:val="000000"/>
          <w:lang w:eastAsia="da-DK"/>
        </w:rPr>
        <w:t xml:space="preserve"> </w:t>
      </w:r>
      <w:r w:rsidR="004810D1" w:rsidRPr="00577043">
        <w:rPr>
          <w:rFonts w:eastAsia="Times New Roman" w:cs="Times New Roman"/>
          <w:i/>
          <w:color w:val="000000"/>
          <w:lang w:eastAsia="da-DK"/>
        </w:rPr>
        <w:t>§ 42</w:t>
      </w:r>
      <w:r w:rsidR="00912953" w:rsidRPr="00577043">
        <w:rPr>
          <w:rFonts w:eastAsia="Times New Roman" w:cs="Times New Roman"/>
          <w:color w:val="000000"/>
          <w:lang w:eastAsia="da-DK"/>
        </w:rPr>
        <w:t xml:space="preserve"> indsættes efter stk. 1 som ny</w:t>
      </w:r>
      <w:r w:rsidR="0001534B" w:rsidRPr="00577043">
        <w:rPr>
          <w:rFonts w:eastAsia="Times New Roman" w:cs="Times New Roman"/>
          <w:color w:val="000000"/>
          <w:lang w:eastAsia="da-DK"/>
        </w:rPr>
        <w:t>t</w:t>
      </w:r>
      <w:r w:rsidR="00912953" w:rsidRPr="00577043">
        <w:rPr>
          <w:rFonts w:eastAsia="Times New Roman" w:cs="Times New Roman"/>
          <w:color w:val="000000"/>
          <w:lang w:eastAsia="da-DK"/>
        </w:rPr>
        <w:t xml:space="preserve"> stykke:</w:t>
      </w:r>
    </w:p>
    <w:p w14:paraId="267004CE" w14:textId="77777777" w:rsidR="00D27DD9" w:rsidRPr="00577043" w:rsidRDefault="00912953" w:rsidP="00D27DD9">
      <w:pPr>
        <w:rPr>
          <w:rFonts w:eastAsia="Times New Roman" w:cs="Times New Roman"/>
          <w:color w:val="000000"/>
          <w:lang w:eastAsia="da-DK"/>
        </w:rPr>
      </w:pPr>
      <w:r w:rsidRPr="00577043">
        <w:rPr>
          <w:rFonts w:eastAsia="Times New Roman" w:cs="Times New Roman"/>
          <w:color w:val="000000"/>
          <w:lang w:eastAsia="da-DK"/>
        </w:rPr>
        <w:t xml:space="preserve">   </w:t>
      </w:r>
      <w:r w:rsidR="00D27DD9" w:rsidRPr="00577043">
        <w:rPr>
          <w:rFonts w:eastAsia="Times New Roman" w:cs="Times New Roman"/>
          <w:color w:val="000000"/>
          <w:lang w:eastAsia="da-DK"/>
        </w:rPr>
        <w:t>”S</w:t>
      </w:r>
      <w:r w:rsidR="00D27DD9" w:rsidRPr="00577043">
        <w:rPr>
          <w:rFonts w:eastAsia="Times New Roman" w:cs="Times New Roman"/>
          <w:i/>
          <w:color w:val="000000"/>
          <w:lang w:eastAsia="da-DK"/>
        </w:rPr>
        <w:t xml:space="preserve">tk. 2, </w:t>
      </w:r>
      <w:r w:rsidR="00D27DD9" w:rsidRPr="00577043">
        <w:rPr>
          <w:rFonts w:eastAsia="Times New Roman" w:cs="Times New Roman"/>
          <w:color w:val="000000"/>
          <w:lang w:eastAsia="da-DK"/>
        </w:rPr>
        <w:t>En videnskabsetisk komité, som bliver opmærksom på, at en forsøgsperson kan have et krav på godtgørelse i henhold til § 42, stk. 1, kan påbyde sponsor, eller hvis denne ikke har værneting i Danmark, den forsøgsansvarlige, at udsende information til de berørte personer herom. Komiteen kan stille krav om form og indhold af informationen. Komiteen kan endvidere sætte en frist for udsendelse af informationen.</w:t>
      </w:r>
    </w:p>
    <w:p w14:paraId="32750F28" w14:textId="77777777" w:rsidR="00912953" w:rsidRPr="00577043" w:rsidRDefault="00912953" w:rsidP="00CB2276">
      <w:pPr>
        <w:rPr>
          <w:rFonts w:eastAsia="Times New Roman" w:cs="Times New Roman"/>
          <w:color w:val="000000"/>
          <w:lang w:eastAsia="da-DK"/>
        </w:rPr>
      </w:pPr>
    </w:p>
    <w:p w14:paraId="4FD32D79" w14:textId="77777777" w:rsidR="004810D1" w:rsidRPr="00577043" w:rsidRDefault="00912953" w:rsidP="00CB2276">
      <w:pPr>
        <w:rPr>
          <w:rFonts w:eastAsia="Times New Roman" w:cs="Times New Roman"/>
          <w:color w:val="000000"/>
          <w:lang w:eastAsia="da-DK"/>
        </w:rPr>
      </w:pPr>
      <w:r w:rsidRPr="00577043">
        <w:rPr>
          <w:rFonts w:eastAsia="Times New Roman" w:cs="Times New Roman"/>
          <w:color w:val="000000"/>
          <w:lang w:eastAsia="da-DK"/>
        </w:rPr>
        <w:t xml:space="preserve">   Stk. 2-4 bliver herefter stk. </w:t>
      </w:r>
      <w:r w:rsidR="004A716A" w:rsidRPr="00577043">
        <w:rPr>
          <w:rFonts w:eastAsia="Times New Roman" w:cs="Times New Roman"/>
          <w:color w:val="000000"/>
          <w:lang w:eastAsia="da-DK"/>
        </w:rPr>
        <w:t>3</w:t>
      </w:r>
      <w:r w:rsidRPr="00577043">
        <w:rPr>
          <w:rFonts w:eastAsia="Times New Roman" w:cs="Times New Roman"/>
          <w:color w:val="000000"/>
          <w:lang w:eastAsia="da-DK"/>
        </w:rPr>
        <w:t>-</w:t>
      </w:r>
      <w:r w:rsidR="004A716A" w:rsidRPr="00577043">
        <w:rPr>
          <w:rFonts w:eastAsia="Times New Roman" w:cs="Times New Roman"/>
          <w:color w:val="000000"/>
          <w:lang w:eastAsia="da-DK"/>
        </w:rPr>
        <w:t>5</w:t>
      </w:r>
      <w:r w:rsidRPr="00577043">
        <w:rPr>
          <w:rFonts w:eastAsia="Times New Roman" w:cs="Times New Roman"/>
          <w:color w:val="000000"/>
          <w:lang w:eastAsia="da-DK"/>
        </w:rPr>
        <w:t>.</w:t>
      </w:r>
      <w:r w:rsidR="0006607C" w:rsidRPr="00577043">
        <w:rPr>
          <w:rFonts w:eastAsia="Times New Roman" w:cs="Times New Roman"/>
          <w:color w:val="000000"/>
          <w:lang w:eastAsia="da-DK"/>
        </w:rPr>
        <w:t xml:space="preserve"> </w:t>
      </w:r>
    </w:p>
    <w:p w14:paraId="738460C8" w14:textId="77777777" w:rsidR="002258D5" w:rsidRPr="00577043" w:rsidRDefault="002258D5" w:rsidP="00CB2276">
      <w:pPr>
        <w:rPr>
          <w:rFonts w:eastAsia="Times New Roman" w:cs="Times New Roman"/>
          <w:color w:val="000000"/>
          <w:lang w:eastAsia="da-DK"/>
        </w:rPr>
      </w:pPr>
    </w:p>
    <w:p w14:paraId="3881D317" w14:textId="77777777" w:rsidR="002258D5" w:rsidRPr="00577043" w:rsidRDefault="002258D5" w:rsidP="00CB2276">
      <w:pPr>
        <w:rPr>
          <w:rFonts w:eastAsia="Times New Roman" w:cs="Times New Roman"/>
          <w:color w:val="000000"/>
          <w:lang w:eastAsia="da-DK"/>
        </w:rPr>
      </w:pPr>
    </w:p>
    <w:p w14:paraId="678BEBB3" w14:textId="77777777" w:rsidR="003465C7" w:rsidRPr="00577043" w:rsidRDefault="003465C7" w:rsidP="00CB2276">
      <w:pPr>
        <w:rPr>
          <w:rFonts w:eastAsia="Times New Roman" w:cs="Times New Roman"/>
          <w:color w:val="000000"/>
          <w:lang w:eastAsia="da-DK"/>
        </w:rPr>
      </w:pPr>
    </w:p>
    <w:p w14:paraId="7DDE23C4" w14:textId="77777777" w:rsidR="001C430E" w:rsidRPr="00577043" w:rsidRDefault="001C430E" w:rsidP="001C430E">
      <w:pPr>
        <w:pStyle w:val="Overskrift2"/>
        <w:rPr>
          <w:rFonts w:eastAsia="Times New Roman"/>
          <w:lang w:eastAsia="da-DK"/>
        </w:rPr>
      </w:pPr>
      <w:r w:rsidRPr="00577043">
        <w:rPr>
          <w:rFonts w:eastAsia="Times New Roman"/>
          <w:lang w:eastAsia="da-DK"/>
        </w:rPr>
        <w:t>[Ændring i sundhedsloven]</w:t>
      </w:r>
    </w:p>
    <w:p w14:paraId="4E0F0C11" w14:textId="77777777" w:rsidR="001C430E" w:rsidRPr="00577043" w:rsidRDefault="001C430E" w:rsidP="001C430E">
      <w:pPr>
        <w:rPr>
          <w:rFonts w:eastAsia="Times New Roman" w:cs="Times New Roman"/>
          <w:color w:val="000000"/>
          <w:lang w:eastAsia="da-DK"/>
        </w:rPr>
      </w:pPr>
    </w:p>
    <w:p w14:paraId="324EB760" w14:textId="77777777" w:rsidR="001C430E" w:rsidRPr="00577043" w:rsidRDefault="001C430E" w:rsidP="001C430E">
      <w:pPr>
        <w:rPr>
          <w:rFonts w:eastAsia="Times New Roman" w:cs="Times New Roman"/>
          <w:color w:val="000000"/>
          <w:lang w:eastAsia="da-DK"/>
        </w:rPr>
      </w:pPr>
      <w:r w:rsidRPr="00577043">
        <w:rPr>
          <w:rFonts w:eastAsia="Times New Roman" w:cs="Times New Roman"/>
          <w:b/>
          <w:color w:val="000000"/>
          <w:lang w:eastAsia="da-DK"/>
        </w:rPr>
        <w:t xml:space="preserve">   § </w:t>
      </w:r>
      <w:r w:rsidR="001D4C72">
        <w:rPr>
          <w:rFonts w:eastAsia="Times New Roman" w:cs="Times New Roman"/>
          <w:b/>
          <w:color w:val="000000"/>
          <w:lang w:eastAsia="da-DK"/>
        </w:rPr>
        <w:t>38</w:t>
      </w:r>
      <w:r w:rsidRPr="00577043">
        <w:rPr>
          <w:rFonts w:eastAsia="Times New Roman" w:cs="Times New Roman"/>
          <w:b/>
          <w:color w:val="000000"/>
          <w:lang w:eastAsia="da-DK"/>
        </w:rPr>
        <w:t xml:space="preserve">. </w:t>
      </w:r>
      <w:r w:rsidRPr="00577043">
        <w:rPr>
          <w:rFonts w:eastAsia="Times New Roman" w:cs="Times New Roman"/>
          <w:color w:val="000000"/>
          <w:lang w:eastAsia="da-DK"/>
        </w:rPr>
        <w:t>I sundhedsloven, jf. lovbekendtgørelse nr. 1202 af 14. november 2013 foretages følgende ændring:</w:t>
      </w:r>
    </w:p>
    <w:p w14:paraId="10DDB77E" w14:textId="77777777" w:rsidR="001C430E" w:rsidRPr="00577043" w:rsidRDefault="001C430E" w:rsidP="001C430E">
      <w:pPr>
        <w:rPr>
          <w:rFonts w:eastAsia="Times New Roman" w:cs="Times New Roman"/>
          <w:b/>
          <w:bCs/>
          <w:color w:val="000000"/>
          <w:lang w:eastAsia="da-DK"/>
        </w:rPr>
      </w:pPr>
      <w:r w:rsidRPr="00577043">
        <w:rPr>
          <w:rFonts w:eastAsia="Times New Roman" w:cs="Times New Roman"/>
          <w:bCs/>
          <w:color w:val="000000"/>
          <w:lang w:eastAsia="da-DK"/>
        </w:rPr>
        <w:t xml:space="preserve">   </w:t>
      </w:r>
      <w:r w:rsidRPr="00577043">
        <w:rPr>
          <w:rFonts w:eastAsia="Times New Roman" w:cs="Times New Roman"/>
          <w:b/>
          <w:bCs/>
          <w:color w:val="000000"/>
          <w:lang w:eastAsia="da-DK"/>
        </w:rPr>
        <w:t xml:space="preserve">1. </w:t>
      </w:r>
      <w:r w:rsidRPr="00577043">
        <w:rPr>
          <w:rFonts w:eastAsia="Times New Roman" w:cs="Times New Roman"/>
          <w:bCs/>
          <w:color w:val="000000"/>
          <w:lang w:eastAsia="da-DK"/>
        </w:rPr>
        <w:t>I § 46, stk. 1, erstattes ”lov om et videnskabsetisk komitésystem og behandling af biomedicinske forskningsprojekter” med ”lov om videnskabsetisk behandling af sundhedsvidenskabelige forskningsprojekter og lov om kliniske forsøg med lægemidler”.</w:t>
      </w:r>
    </w:p>
    <w:p w14:paraId="24D5198B" w14:textId="77777777" w:rsidR="001C430E" w:rsidRPr="00577043" w:rsidRDefault="001C430E" w:rsidP="001C430E">
      <w:pPr>
        <w:rPr>
          <w:rFonts w:eastAsia="Times New Roman" w:cs="Times New Roman"/>
          <w:color w:val="000000"/>
          <w:lang w:eastAsia="da-DK"/>
        </w:rPr>
      </w:pPr>
    </w:p>
    <w:p w14:paraId="1E41A8E3" w14:textId="77777777" w:rsidR="001C430E" w:rsidRPr="00577043" w:rsidRDefault="001C430E" w:rsidP="001C430E">
      <w:pPr>
        <w:rPr>
          <w:rFonts w:eastAsia="Times New Roman" w:cs="Times New Roman"/>
          <w:color w:val="000000"/>
          <w:lang w:eastAsia="da-DK"/>
        </w:rPr>
      </w:pPr>
    </w:p>
    <w:p w14:paraId="57F8D991" w14:textId="77777777" w:rsidR="001C430E" w:rsidRPr="00577043" w:rsidRDefault="001C430E" w:rsidP="001C430E">
      <w:pPr>
        <w:pStyle w:val="Overskrift2"/>
        <w:rPr>
          <w:rFonts w:eastAsia="Times New Roman"/>
          <w:lang w:eastAsia="da-DK"/>
        </w:rPr>
      </w:pPr>
      <w:r w:rsidRPr="00577043">
        <w:rPr>
          <w:rFonts w:eastAsia="Times New Roman"/>
          <w:lang w:eastAsia="da-DK"/>
        </w:rPr>
        <w:t>[Ændring i lov om Det Etiske Råd]</w:t>
      </w:r>
    </w:p>
    <w:p w14:paraId="00BF65FF" w14:textId="77777777" w:rsidR="001C430E" w:rsidRPr="00577043" w:rsidRDefault="001C430E" w:rsidP="001C430E">
      <w:pPr>
        <w:rPr>
          <w:rFonts w:eastAsia="Times New Roman" w:cs="Times New Roman"/>
          <w:color w:val="000000"/>
          <w:lang w:eastAsia="da-DK"/>
        </w:rPr>
      </w:pPr>
    </w:p>
    <w:p w14:paraId="49B8A4B4" w14:textId="77777777" w:rsidR="001C430E" w:rsidRPr="00577043" w:rsidRDefault="001C430E" w:rsidP="001C430E">
      <w:pPr>
        <w:rPr>
          <w:rFonts w:eastAsia="Times New Roman" w:cs="Times New Roman"/>
          <w:color w:val="000000"/>
          <w:lang w:eastAsia="da-DK"/>
        </w:rPr>
      </w:pPr>
      <w:r w:rsidRPr="00577043">
        <w:rPr>
          <w:rFonts w:eastAsia="Times New Roman" w:cs="Times New Roman"/>
          <w:color w:val="000000"/>
          <w:lang w:eastAsia="da-DK"/>
        </w:rPr>
        <w:t xml:space="preserve">   </w:t>
      </w:r>
      <w:r w:rsidRPr="001D4C72">
        <w:rPr>
          <w:rFonts w:eastAsia="Times New Roman" w:cs="Times New Roman"/>
          <w:b/>
          <w:color w:val="000000"/>
          <w:lang w:eastAsia="da-DK"/>
        </w:rPr>
        <w:t xml:space="preserve">§ </w:t>
      </w:r>
      <w:r w:rsidR="001D4C72" w:rsidRPr="001D4C72">
        <w:rPr>
          <w:rFonts w:eastAsia="Times New Roman" w:cs="Times New Roman"/>
          <w:b/>
          <w:color w:val="000000"/>
          <w:lang w:eastAsia="da-DK"/>
        </w:rPr>
        <w:t>39</w:t>
      </w:r>
      <w:r w:rsidRPr="00577043">
        <w:rPr>
          <w:rFonts w:eastAsia="Times New Roman" w:cs="Times New Roman"/>
          <w:color w:val="000000"/>
          <w:lang w:eastAsia="da-DK"/>
        </w:rPr>
        <w:t>. I lov nr. 440 af 9. juni 2004 om Det Etisk Råd foretages følgende ændring:</w:t>
      </w:r>
    </w:p>
    <w:p w14:paraId="4B9368A7" w14:textId="77777777" w:rsidR="001C430E" w:rsidRPr="00577043" w:rsidRDefault="001C430E" w:rsidP="002714A8">
      <w:pPr>
        <w:rPr>
          <w:rFonts w:eastAsia="Times New Roman" w:cs="Times New Roman"/>
          <w:color w:val="000000"/>
          <w:lang w:eastAsia="da-DK"/>
        </w:rPr>
      </w:pPr>
      <w:r w:rsidRPr="00577043">
        <w:rPr>
          <w:rFonts w:eastAsia="Times New Roman" w:cs="Times New Roman"/>
          <w:color w:val="000000"/>
          <w:lang w:eastAsia="da-DK"/>
        </w:rPr>
        <w:t xml:space="preserve">   </w:t>
      </w:r>
      <w:r w:rsidRPr="00577043">
        <w:rPr>
          <w:rFonts w:eastAsia="Times New Roman" w:cs="Times New Roman"/>
          <w:b/>
          <w:color w:val="000000"/>
          <w:lang w:eastAsia="da-DK"/>
        </w:rPr>
        <w:t>1.</w:t>
      </w:r>
      <w:r w:rsidRPr="00577043">
        <w:rPr>
          <w:rFonts w:eastAsia="Times New Roman" w:cs="Times New Roman"/>
          <w:color w:val="000000"/>
          <w:lang w:eastAsia="da-DK"/>
        </w:rPr>
        <w:t xml:space="preserve"> I </w:t>
      </w:r>
      <w:r w:rsidRPr="00B902E8">
        <w:rPr>
          <w:rFonts w:eastAsia="Times New Roman" w:cs="Times New Roman"/>
          <w:i/>
          <w:color w:val="000000"/>
          <w:lang w:eastAsia="da-DK"/>
        </w:rPr>
        <w:t>§ 9</w:t>
      </w:r>
      <w:r w:rsidRPr="00577043">
        <w:rPr>
          <w:rFonts w:eastAsia="Times New Roman" w:cs="Times New Roman"/>
          <w:color w:val="000000"/>
          <w:lang w:eastAsia="da-DK"/>
        </w:rPr>
        <w:t xml:space="preserve"> erstattes ”Den Centrale Videnskabsetiske Komité” med ”National Videnskabsetiske Komité”.</w:t>
      </w:r>
    </w:p>
    <w:p w14:paraId="7122BD1C" w14:textId="77777777" w:rsidR="002714A8" w:rsidRPr="00577043" w:rsidRDefault="002714A8" w:rsidP="002714A8">
      <w:pPr>
        <w:rPr>
          <w:rFonts w:eastAsia="Times New Roman" w:cs="Times New Roman"/>
          <w:color w:val="000000"/>
          <w:lang w:eastAsia="da-DK"/>
        </w:rPr>
      </w:pPr>
    </w:p>
    <w:p w14:paraId="5CBDD155" w14:textId="77777777" w:rsidR="002714A8" w:rsidRPr="00577043" w:rsidRDefault="002714A8" w:rsidP="002714A8">
      <w:pPr>
        <w:rPr>
          <w:rFonts w:eastAsia="Times New Roman" w:cs="Times New Roman"/>
          <w:color w:val="000000"/>
          <w:lang w:eastAsia="da-DK"/>
        </w:rPr>
      </w:pPr>
    </w:p>
    <w:p w14:paraId="791494F3" w14:textId="77777777" w:rsidR="002714A8" w:rsidRPr="00577043" w:rsidRDefault="002714A8" w:rsidP="002714A8">
      <w:pPr>
        <w:rPr>
          <w:rFonts w:eastAsia="Times New Roman" w:cs="Times New Roman"/>
          <w:color w:val="000000"/>
          <w:lang w:eastAsia="da-DK"/>
        </w:rPr>
      </w:pPr>
    </w:p>
    <w:p w14:paraId="25A31DC6" w14:textId="77777777" w:rsidR="00A675AB" w:rsidRPr="00577043" w:rsidRDefault="00A675AB" w:rsidP="00A675AB">
      <w:pPr>
        <w:pStyle w:val="Overskrift2"/>
        <w:rPr>
          <w:rFonts w:eastAsia="Times New Roman"/>
          <w:lang w:eastAsia="da-DK"/>
        </w:rPr>
      </w:pPr>
      <w:r w:rsidRPr="00577043">
        <w:rPr>
          <w:rFonts w:eastAsia="Times New Roman"/>
          <w:lang w:eastAsia="da-DK"/>
        </w:rPr>
        <w:t>[Ændring i lov om klage- og erstatning]</w:t>
      </w:r>
    </w:p>
    <w:p w14:paraId="7DB9F331" w14:textId="77777777" w:rsidR="00A675AB" w:rsidRPr="00577043" w:rsidRDefault="00A675AB" w:rsidP="00A675AB">
      <w:pPr>
        <w:rPr>
          <w:rFonts w:eastAsia="Times New Roman" w:cs="Times New Roman"/>
          <w:b/>
          <w:color w:val="000000"/>
          <w:lang w:eastAsia="da-DK"/>
        </w:rPr>
      </w:pPr>
    </w:p>
    <w:p w14:paraId="61B39CD4" w14:textId="77777777" w:rsidR="00A675AB" w:rsidRPr="00577043" w:rsidRDefault="00A675AB" w:rsidP="00A675AB">
      <w:pPr>
        <w:rPr>
          <w:rFonts w:eastAsia="Times New Roman" w:cs="Times New Roman"/>
          <w:color w:val="000000"/>
          <w:lang w:eastAsia="da-DK"/>
        </w:rPr>
      </w:pPr>
      <w:r w:rsidRPr="00577043">
        <w:rPr>
          <w:rFonts w:eastAsia="Times New Roman" w:cs="Times New Roman"/>
          <w:b/>
          <w:color w:val="000000"/>
          <w:lang w:eastAsia="da-DK"/>
        </w:rPr>
        <w:lastRenderedPageBreak/>
        <w:t xml:space="preserve">§ </w:t>
      </w:r>
      <w:r w:rsidR="001D4C72">
        <w:rPr>
          <w:rFonts w:eastAsia="Times New Roman" w:cs="Times New Roman"/>
          <w:b/>
          <w:color w:val="000000"/>
          <w:lang w:eastAsia="da-DK"/>
        </w:rPr>
        <w:t>40</w:t>
      </w:r>
      <w:r w:rsidRPr="00577043">
        <w:rPr>
          <w:rFonts w:eastAsia="Times New Roman" w:cs="Times New Roman"/>
          <w:color w:val="000000"/>
          <w:lang w:eastAsia="da-DK"/>
        </w:rPr>
        <w:t>. I lov om klage- og erstatningsadgang inden for sundhedsvæsnet, jf. lovbekendtgørelse nr. 1113 af 7. november 2011 foretages følgende ændring:</w:t>
      </w:r>
    </w:p>
    <w:p w14:paraId="42945EF0" w14:textId="77777777" w:rsidR="00A675AB" w:rsidRPr="00577043" w:rsidRDefault="00A675AB" w:rsidP="00A675AB">
      <w:pPr>
        <w:pStyle w:val="Listeafsnit"/>
        <w:numPr>
          <w:ilvl w:val="0"/>
          <w:numId w:val="36"/>
        </w:numPr>
        <w:rPr>
          <w:rFonts w:eastAsia="Times New Roman" w:cs="Times New Roman"/>
          <w:color w:val="000000"/>
          <w:lang w:eastAsia="da-DK"/>
        </w:rPr>
      </w:pPr>
      <w:r w:rsidRPr="00577043">
        <w:rPr>
          <w:rFonts w:eastAsia="Times New Roman" w:cs="Times New Roman"/>
          <w:color w:val="000000"/>
          <w:lang w:eastAsia="da-DK"/>
        </w:rPr>
        <w:t xml:space="preserve">I </w:t>
      </w:r>
      <w:r w:rsidRPr="00B902E8">
        <w:rPr>
          <w:rFonts w:eastAsia="Times New Roman" w:cs="Times New Roman"/>
          <w:i/>
          <w:color w:val="000000"/>
          <w:lang w:eastAsia="da-DK"/>
        </w:rPr>
        <w:t>§ 19, stk. 2</w:t>
      </w:r>
      <w:r w:rsidRPr="00577043">
        <w:rPr>
          <w:rFonts w:eastAsia="Times New Roman" w:cs="Times New Roman"/>
          <w:color w:val="000000"/>
          <w:lang w:eastAsia="da-DK"/>
        </w:rPr>
        <w:t>, tilføjes efter ”forsøg”:</w:t>
      </w:r>
    </w:p>
    <w:p w14:paraId="510AE292" w14:textId="77777777" w:rsidR="00A675AB" w:rsidRPr="00577043" w:rsidRDefault="00A675AB" w:rsidP="00A675AB">
      <w:pPr>
        <w:rPr>
          <w:rFonts w:eastAsia="Times New Roman" w:cs="Times New Roman"/>
          <w:color w:val="000000"/>
          <w:lang w:eastAsia="da-DK"/>
        </w:rPr>
      </w:pPr>
      <w:r w:rsidRPr="00577043">
        <w:rPr>
          <w:rFonts w:eastAsia="Times New Roman" w:cs="Times New Roman"/>
          <w:color w:val="000000"/>
          <w:lang w:eastAsia="da-DK"/>
        </w:rPr>
        <w:t xml:space="preserve">   ”, herunder kliniske forsøg med lægemidler”.</w:t>
      </w:r>
    </w:p>
    <w:p w14:paraId="29A2DC86" w14:textId="77777777" w:rsidR="002714A8" w:rsidRPr="00577043" w:rsidRDefault="002714A8" w:rsidP="00CB2276">
      <w:pPr>
        <w:rPr>
          <w:rFonts w:eastAsia="Times New Roman" w:cs="Times New Roman"/>
          <w:color w:val="000000"/>
          <w:lang w:eastAsia="da-DK"/>
        </w:rPr>
      </w:pPr>
    </w:p>
    <w:p w14:paraId="67F2C037" w14:textId="77777777" w:rsidR="00A675AB" w:rsidRPr="00577043" w:rsidRDefault="00A675AB" w:rsidP="00CB2276">
      <w:pPr>
        <w:rPr>
          <w:rFonts w:eastAsia="Times New Roman" w:cs="Times New Roman"/>
          <w:color w:val="000000"/>
          <w:lang w:eastAsia="da-DK"/>
        </w:rPr>
      </w:pPr>
    </w:p>
    <w:p w14:paraId="66C4FF61" w14:textId="77777777" w:rsidR="003D3C55" w:rsidRPr="00577043" w:rsidRDefault="003D3C55" w:rsidP="00CB2276">
      <w:pPr>
        <w:rPr>
          <w:rFonts w:eastAsia="Times New Roman" w:cs="Times New Roman"/>
          <w:color w:val="000000"/>
          <w:lang w:eastAsia="da-DK"/>
        </w:rPr>
      </w:pPr>
    </w:p>
    <w:p w14:paraId="2E8620AE" w14:textId="77777777" w:rsidR="00BA731B" w:rsidRPr="00577043" w:rsidRDefault="00364B20" w:rsidP="00BA731B">
      <w:pPr>
        <w:jc w:val="center"/>
        <w:rPr>
          <w:rFonts w:eastAsia="Times New Roman" w:cs="Times New Roman"/>
          <w:i/>
          <w:iCs/>
          <w:color w:val="000000"/>
          <w:lang w:eastAsia="da-DK"/>
        </w:rPr>
      </w:pPr>
      <w:r w:rsidRPr="00577043">
        <w:rPr>
          <w:rFonts w:eastAsia="Times New Roman" w:cs="Times New Roman"/>
          <w:i/>
          <w:iCs/>
          <w:color w:val="000000"/>
          <w:lang w:eastAsia="da-DK"/>
        </w:rPr>
        <w:t xml:space="preserve">Bemærkninger </w:t>
      </w:r>
      <w:r w:rsidR="00BA731B" w:rsidRPr="00577043">
        <w:rPr>
          <w:rFonts w:eastAsia="Times New Roman" w:cs="Times New Roman"/>
          <w:i/>
          <w:iCs/>
          <w:color w:val="000000"/>
          <w:lang w:eastAsia="da-DK"/>
        </w:rPr>
        <w:t>til lovforslaget</w:t>
      </w:r>
    </w:p>
    <w:p w14:paraId="6AA07106" w14:textId="77777777" w:rsidR="002714A8" w:rsidRPr="00577043" w:rsidRDefault="002714A8" w:rsidP="00BA731B">
      <w:pPr>
        <w:jc w:val="center"/>
        <w:rPr>
          <w:rFonts w:eastAsia="Times New Roman" w:cs="Times New Roman"/>
          <w:i/>
          <w:iCs/>
          <w:color w:val="000000"/>
          <w:lang w:eastAsia="da-DK"/>
        </w:rPr>
      </w:pPr>
    </w:p>
    <w:p w14:paraId="281CEDC4" w14:textId="77777777" w:rsidR="002714A8" w:rsidRPr="00577043" w:rsidRDefault="002714A8" w:rsidP="00BA731B">
      <w:pPr>
        <w:jc w:val="center"/>
        <w:rPr>
          <w:rFonts w:eastAsia="Times New Roman" w:cs="Times New Roman"/>
          <w:i/>
          <w:iCs/>
          <w:color w:val="000000"/>
          <w:lang w:eastAsia="da-DK"/>
        </w:rPr>
      </w:pPr>
    </w:p>
    <w:p w14:paraId="78DA31F8" w14:textId="77777777" w:rsidR="004E0FC5" w:rsidRPr="00577043" w:rsidRDefault="004E0FC5" w:rsidP="00CB2276">
      <w:pPr>
        <w:pStyle w:val="Overskrift1"/>
        <w:spacing w:before="0"/>
        <w:rPr>
          <w:rFonts w:eastAsia="Times New Roman" w:cs="Times New Roman"/>
          <w:b w:val="0"/>
          <w:i/>
          <w:lang w:eastAsia="da-DK"/>
        </w:rPr>
      </w:pPr>
      <w:r w:rsidRPr="00577043">
        <w:rPr>
          <w:rFonts w:eastAsia="Times New Roman" w:cs="Times New Roman"/>
          <w:b w:val="0"/>
          <w:i/>
          <w:lang w:eastAsia="da-DK"/>
        </w:rPr>
        <w:t>Almindelige bemærkninger</w:t>
      </w:r>
    </w:p>
    <w:p w14:paraId="65BBF904" w14:textId="77777777" w:rsidR="00314C35" w:rsidRPr="00577043" w:rsidRDefault="00314C35" w:rsidP="00314C35">
      <w:pPr>
        <w:rPr>
          <w:rFonts w:eastAsia="Times New Roman" w:cs="Times New Roman"/>
          <w:b/>
          <w:iCs/>
          <w:color w:val="000000"/>
          <w:lang w:eastAsia="da-DK"/>
        </w:rPr>
      </w:pPr>
      <w:r w:rsidRPr="00577043">
        <w:rPr>
          <w:rFonts w:eastAsia="Times New Roman" w:cs="Times New Roman"/>
          <w:b/>
          <w:iCs/>
          <w:color w:val="000000"/>
          <w:lang w:eastAsia="da-DK"/>
        </w:rPr>
        <w:t>Indholdsfortegnelse</w:t>
      </w:r>
    </w:p>
    <w:p w14:paraId="774D0D74" w14:textId="77777777" w:rsidR="00314C35" w:rsidRPr="00577043" w:rsidRDefault="00314C35" w:rsidP="00314C35">
      <w:pPr>
        <w:rPr>
          <w:rFonts w:eastAsia="Times New Roman" w:cs="Times New Roman"/>
          <w:iCs/>
          <w:color w:val="000000"/>
          <w:lang w:eastAsia="da-DK"/>
        </w:rPr>
      </w:pPr>
    </w:p>
    <w:p w14:paraId="620A16C5" w14:textId="77777777" w:rsidR="00314C35" w:rsidRDefault="00314C35" w:rsidP="00314C35">
      <w:pPr>
        <w:pStyle w:val="Listeafsnit"/>
        <w:numPr>
          <w:ilvl w:val="0"/>
          <w:numId w:val="6"/>
        </w:numPr>
        <w:rPr>
          <w:rFonts w:eastAsia="Times New Roman" w:cs="Times New Roman"/>
          <w:iCs/>
          <w:color w:val="000000"/>
          <w:lang w:eastAsia="da-DK"/>
        </w:rPr>
      </w:pPr>
      <w:r w:rsidRPr="00577043">
        <w:rPr>
          <w:rFonts w:eastAsia="Times New Roman" w:cs="Times New Roman"/>
          <w:iCs/>
          <w:color w:val="000000"/>
          <w:lang w:eastAsia="da-DK"/>
        </w:rPr>
        <w:t>Indledning og baggrund</w:t>
      </w:r>
    </w:p>
    <w:p w14:paraId="381878AE" w14:textId="77777777" w:rsidR="00314C35" w:rsidRDefault="00314C35" w:rsidP="00314C35">
      <w:pPr>
        <w:pStyle w:val="Listeafsnit"/>
        <w:numPr>
          <w:ilvl w:val="1"/>
          <w:numId w:val="6"/>
        </w:numPr>
        <w:rPr>
          <w:rFonts w:eastAsia="Times New Roman" w:cs="Times New Roman"/>
          <w:iCs/>
          <w:color w:val="000000"/>
          <w:lang w:eastAsia="da-DK"/>
        </w:rPr>
      </w:pPr>
      <w:r>
        <w:rPr>
          <w:rFonts w:eastAsia="Times New Roman" w:cs="Times New Roman"/>
          <w:iCs/>
          <w:color w:val="000000"/>
          <w:lang w:eastAsia="da-DK"/>
        </w:rPr>
        <w:t>Formål</w:t>
      </w:r>
    </w:p>
    <w:p w14:paraId="1DDA8162" w14:textId="77777777" w:rsidR="00314C35" w:rsidRDefault="00314C35" w:rsidP="00314C35">
      <w:pPr>
        <w:pStyle w:val="Listeafsnit"/>
        <w:numPr>
          <w:ilvl w:val="1"/>
          <w:numId w:val="6"/>
        </w:numPr>
        <w:rPr>
          <w:rFonts w:eastAsia="Times New Roman" w:cs="Times New Roman"/>
          <w:iCs/>
          <w:color w:val="000000"/>
          <w:lang w:eastAsia="da-DK"/>
        </w:rPr>
      </w:pPr>
      <w:r>
        <w:rPr>
          <w:rFonts w:eastAsia="Times New Roman" w:cs="Times New Roman"/>
          <w:iCs/>
          <w:color w:val="000000"/>
          <w:lang w:eastAsia="da-DK"/>
        </w:rPr>
        <w:t>(EU) forordning nr. 536/2014</w:t>
      </w:r>
    </w:p>
    <w:p w14:paraId="62A23BBB" w14:textId="77777777" w:rsidR="00314C35" w:rsidRDefault="00314C35" w:rsidP="00314C35">
      <w:pPr>
        <w:pStyle w:val="Listeafsnit"/>
        <w:numPr>
          <w:ilvl w:val="1"/>
          <w:numId w:val="6"/>
        </w:numPr>
        <w:rPr>
          <w:rFonts w:eastAsia="Times New Roman" w:cs="Times New Roman"/>
          <w:iCs/>
          <w:color w:val="000000"/>
          <w:lang w:eastAsia="da-DK"/>
        </w:rPr>
      </w:pPr>
      <w:r>
        <w:rPr>
          <w:rFonts w:eastAsia="Times New Roman" w:cs="Times New Roman"/>
          <w:iCs/>
          <w:color w:val="000000"/>
          <w:lang w:eastAsia="da-DK"/>
        </w:rPr>
        <w:t>Forordningens regulering af ansøgningsproceduren</w:t>
      </w:r>
    </w:p>
    <w:p w14:paraId="04DA5871" w14:textId="77777777" w:rsidR="00314C35" w:rsidRDefault="00314C35" w:rsidP="00314C35">
      <w:pPr>
        <w:pStyle w:val="Listeafsnit"/>
        <w:numPr>
          <w:ilvl w:val="1"/>
          <w:numId w:val="6"/>
        </w:numPr>
        <w:rPr>
          <w:rFonts w:eastAsia="Times New Roman" w:cs="Times New Roman"/>
          <w:iCs/>
          <w:color w:val="000000"/>
          <w:lang w:eastAsia="da-DK"/>
        </w:rPr>
      </w:pPr>
      <w:r>
        <w:rPr>
          <w:rFonts w:eastAsia="Times New Roman" w:cs="Times New Roman"/>
          <w:iCs/>
          <w:color w:val="000000"/>
          <w:lang w:eastAsia="da-DK"/>
        </w:rPr>
        <w:t>Tidsfrister</w:t>
      </w:r>
    </w:p>
    <w:p w14:paraId="477FA2EB" w14:textId="77777777" w:rsidR="00314C35" w:rsidRDefault="00314C35" w:rsidP="00314C35">
      <w:pPr>
        <w:pStyle w:val="Listeafsnit"/>
        <w:numPr>
          <w:ilvl w:val="1"/>
          <w:numId w:val="6"/>
        </w:numPr>
        <w:rPr>
          <w:rFonts w:eastAsia="Times New Roman" w:cs="Times New Roman"/>
          <w:iCs/>
          <w:color w:val="000000"/>
          <w:lang w:eastAsia="da-DK"/>
        </w:rPr>
      </w:pPr>
      <w:r>
        <w:rPr>
          <w:rFonts w:eastAsia="Times New Roman" w:cs="Times New Roman"/>
          <w:iCs/>
          <w:color w:val="000000"/>
          <w:lang w:eastAsia="da-DK"/>
        </w:rPr>
        <w:t>Fælles afgørelse</w:t>
      </w:r>
    </w:p>
    <w:p w14:paraId="0699F03C" w14:textId="77777777" w:rsidR="00314C35" w:rsidRDefault="00314C35" w:rsidP="00314C35">
      <w:pPr>
        <w:pStyle w:val="Listeafsnit"/>
        <w:numPr>
          <w:ilvl w:val="1"/>
          <w:numId w:val="6"/>
        </w:numPr>
        <w:rPr>
          <w:rFonts w:eastAsia="Times New Roman" w:cs="Times New Roman"/>
          <w:iCs/>
          <w:color w:val="000000"/>
          <w:lang w:eastAsia="da-DK"/>
        </w:rPr>
      </w:pPr>
      <w:r>
        <w:rPr>
          <w:rFonts w:eastAsia="Times New Roman" w:cs="Times New Roman"/>
          <w:iCs/>
          <w:color w:val="000000"/>
          <w:lang w:eastAsia="da-DK"/>
        </w:rPr>
        <w:t>EU-databasen og gennemsigtighed</w:t>
      </w:r>
    </w:p>
    <w:p w14:paraId="5AA1DF9F" w14:textId="77777777" w:rsidR="00314C35" w:rsidRDefault="00314C35" w:rsidP="00314C35">
      <w:pPr>
        <w:pStyle w:val="Listeafsnit"/>
        <w:numPr>
          <w:ilvl w:val="1"/>
          <w:numId w:val="6"/>
        </w:numPr>
        <w:rPr>
          <w:rFonts w:eastAsia="Times New Roman" w:cs="Times New Roman"/>
          <w:iCs/>
          <w:color w:val="000000"/>
          <w:lang w:eastAsia="da-DK"/>
        </w:rPr>
      </w:pPr>
      <w:r>
        <w:rPr>
          <w:rFonts w:eastAsia="Times New Roman" w:cs="Times New Roman"/>
          <w:iCs/>
          <w:color w:val="000000"/>
          <w:lang w:eastAsia="da-DK"/>
        </w:rPr>
        <w:t>Lægemiddelforsøg i Danmark</w:t>
      </w:r>
    </w:p>
    <w:p w14:paraId="0F0CCEF3" w14:textId="77777777" w:rsidR="00314C35" w:rsidRDefault="00314C35" w:rsidP="00314C35">
      <w:pPr>
        <w:pStyle w:val="Listeafsnit"/>
        <w:numPr>
          <w:ilvl w:val="1"/>
          <w:numId w:val="6"/>
        </w:numPr>
        <w:rPr>
          <w:rFonts w:eastAsia="Times New Roman" w:cs="Times New Roman"/>
          <w:iCs/>
          <w:color w:val="000000"/>
          <w:lang w:eastAsia="da-DK"/>
        </w:rPr>
      </w:pPr>
      <w:r>
        <w:rPr>
          <w:rFonts w:eastAsia="Times New Roman" w:cs="Times New Roman"/>
          <w:iCs/>
          <w:color w:val="000000"/>
          <w:lang w:eastAsia="da-DK"/>
        </w:rPr>
        <w:t>Grundlag for lovændringer</w:t>
      </w:r>
    </w:p>
    <w:p w14:paraId="796C013D" w14:textId="77777777" w:rsidR="00314C35" w:rsidRDefault="00314C35" w:rsidP="00314C35">
      <w:pPr>
        <w:pStyle w:val="Listeafsnit"/>
        <w:numPr>
          <w:ilvl w:val="0"/>
          <w:numId w:val="6"/>
        </w:numPr>
        <w:rPr>
          <w:rFonts w:eastAsia="Times New Roman" w:cs="Times New Roman"/>
          <w:iCs/>
          <w:color w:val="000000"/>
          <w:lang w:eastAsia="da-DK"/>
        </w:rPr>
      </w:pPr>
      <w:r>
        <w:rPr>
          <w:rFonts w:eastAsia="Times New Roman" w:cs="Times New Roman"/>
          <w:iCs/>
          <w:color w:val="000000"/>
          <w:lang w:eastAsia="da-DK"/>
        </w:rPr>
        <w:t>Lovforslagets hoved</w:t>
      </w:r>
      <w:r w:rsidR="009D32EC">
        <w:rPr>
          <w:rFonts w:eastAsia="Times New Roman" w:cs="Times New Roman"/>
          <w:iCs/>
          <w:color w:val="000000"/>
          <w:lang w:eastAsia="da-DK"/>
        </w:rPr>
        <w:t>indhold</w:t>
      </w:r>
    </w:p>
    <w:p w14:paraId="3F786D82" w14:textId="77777777" w:rsidR="00314C35" w:rsidRDefault="00314C35" w:rsidP="00314C35">
      <w:pPr>
        <w:pStyle w:val="Listeafsnit"/>
        <w:numPr>
          <w:ilvl w:val="1"/>
          <w:numId w:val="6"/>
        </w:numPr>
        <w:rPr>
          <w:rFonts w:eastAsia="Times New Roman" w:cs="Times New Roman"/>
          <w:iCs/>
          <w:color w:val="000000"/>
          <w:lang w:eastAsia="da-DK"/>
        </w:rPr>
      </w:pPr>
      <w:r w:rsidRPr="00270644">
        <w:rPr>
          <w:rFonts w:eastAsia="Times New Roman" w:cs="Times New Roman"/>
          <w:iCs/>
          <w:color w:val="000000"/>
          <w:lang w:eastAsia="da-DK"/>
        </w:rPr>
        <w:t>Nedsættelse af videnskabsetiske lægemiddelkomiteer</w:t>
      </w:r>
    </w:p>
    <w:p w14:paraId="0A0DE0E2" w14:textId="77777777" w:rsidR="00314C35" w:rsidRDefault="00314C35" w:rsidP="00314C35">
      <w:pPr>
        <w:pStyle w:val="Listeafsnit"/>
        <w:numPr>
          <w:ilvl w:val="2"/>
          <w:numId w:val="6"/>
        </w:numPr>
        <w:rPr>
          <w:rFonts w:eastAsia="Times New Roman" w:cs="Times New Roman"/>
          <w:iCs/>
          <w:color w:val="000000"/>
          <w:lang w:eastAsia="da-DK"/>
        </w:rPr>
      </w:pPr>
      <w:r>
        <w:rPr>
          <w:rFonts w:eastAsia="Times New Roman" w:cs="Times New Roman"/>
          <w:iCs/>
          <w:color w:val="000000"/>
          <w:lang w:eastAsia="da-DK"/>
        </w:rPr>
        <w:t xml:space="preserve"> </w:t>
      </w:r>
      <w:r w:rsidRPr="00270644">
        <w:rPr>
          <w:rFonts w:eastAsia="Times New Roman" w:cs="Times New Roman"/>
          <w:iCs/>
          <w:color w:val="000000"/>
          <w:lang w:eastAsia="da-DK"/>
        </w:rPr>
        <w:t>Gældende ret</w:t>
      </w:r>
    </w:p>
    <w:p w14:paraId="5178EA9C" w14:textId="77777777" w:rsidR="00314C35" w:rsidRDefault="00314C35" w:rsidP="00314C35">
      <w:pPr>
        <w:pStyle w:val="Listeafsnit"/>
        <w:numPr>
          <w:ilvl w:val="2"/>
          <w:numId w:val="6"/>
        </w:numPr>
        <w:rPr>
          <w:rFonts w:eastAsia="Times New Roman" w:cs="Times New Roman"/>
          <w:iCs/>
          <w:color w:val="000000"/>
          <w:lang w:eastAsia="da-DK"/>
        </w:rPr>
      </w:pPr>
      <w:r>
        <w:rPr>
          <w:rFonts w:eastAsia="Times New Roman" w:cs="Times New Roman"/>
          <w:iCs/>
          <w:color w:val="000000"/>
          <w:lang w:eastAsia="da-DK"/>
        </w:rPr>
        <w:t xml:space="preserve"> Forslag</w:t>
      </w:r>
    </w:p>
    <w:p w14:paraId="26CD3877" w14:textId="77777777" w:rsidR="00314C35" w:rsidRDefault="00314C35" w:rsidP="00314C35">
      <w:pPr>
        <w:pStyle w:val="Listeafsnit"/>
        <w:numPr>
          <w:ilvl w:val="1"/>
          <w:numId w:val="6"/>
        </w:numPr>
        <w:rPr>
          <w:rFonts w:eastAsia="Times New Roman" w:cs="Times New Roman"/>
          <w:iCs/>
          <w:color w:val="000000"/>
          <w:lang w:eastAsia="da-DK"/>
        </w:rPr>
      </w:pPr>
      <w:r>
        <w:rPr>
          <w:rFonts w:eastAsia="Times New Roman" w:cs="Times New Roman"/>
          <w:iCs/>
          <w:color w:val="000000"/>
          <w:lang w:eastAsia="da-DK"/>
        </w:rPr>
        <w:t>Procedure for vurdering og godkendelse af kliniske forsøg med lægemidler til mennesker</w:t>
      </w:r>
    </w:p>
    <w:p w14:paraId="29FC063F" w14:textId="77777777" w:rsidR="00314C35" w:rsidRDefault="00314C35" w:rsidP="00314C35">
      <w:pPr>
        <w:pStyle w:val="Listeafsnit"/>
        <w:numPr>
          <w:ilvl w:val="2"/>
          <w:numId w:val="6"/>
        </w:numPr>
        <w:rPr>
          <w:rFonts w:eastAsia="Times New Roman" w:cs="Times New Roman"/>
          <w:iCs/>
          <w:color w:val="000000"/>
          <w:lang w:eastAsia="da-DK"/>
        </w:rPr>
      </w:pPr>
      <w:r>
        <w:rPr>
          <w:rFonts w:eastAsia="Times New Roman" w:cs="Times New Roman"/>
          <w:iCs/>
          <w:color w:val="000000"/>
          <w:lang w:eastAsia="da-DK"/>
        </w:rPr>
        <w:t>Gældende ret</w:t>
      </w:r>
    </w:p>
    <w:p w14:paraId="448870A2" w14:textId="77777777" w:rsidR="00314C35" w:rsidRDefault="00314C35" w:rsidP="00314C35">
      <w:pPr>
        <w:pStyle w:val="Listeafsnit"/>
        <w:numPr>
          <w:ilvl w:val="2"/>
          <w:numId w:val="6"/>
        </w:numPr>
        <w:rPr>
          <w:rFonts w:eastAsia="Times New Roman" w:cs="Times New Roman"/>
          <w:iCs/>
          <w:color w:val="000000"/>
          <w:lang w:eastAsia="da-DK"/>
        </w:rPr>
      </w:pPr>
      <w:r>
        <w:rPr>
          <w:rFonts w:eastAsia="Times New Roman" w:cs="Times New Roman"/>
          <w:iCs/>
          <w:color w:val="000000"/>
          <w:lang w:eastAsia="da-DK"/>
        </w:rPr>
        <w:t xml:space="preserve"> Forslag</w:t>
      </w:r>
    </w:p>
    <w:p w14:paraId="4155D736" w14:textId="77777777" w:rsidR="00314C35" w:rsidRPr="00522653" w:rsidRDefault="00522653" w:rsidP="00522653">
      <w:pPr>
        <w:ind w:left="720"/>
        <w:rPr>
          <w:rFonts w:eastAsia="Times New Roman" w:cs="Times New Roman"/>
          <w:iCs/>
          <w:color w:val="000000"/>
          <w:lang w:eastAsia="da-DK"/>
        </w:rPr>
      </w:pPr>
      <w:r>
        <w:rPr>
          <w:rFonts w:eastAsia="Times New Roman" w:cs="Times New Roman"/>
          <w:iCs/>
          <w:color w:val="000000"/>
          <w:lang w:eastAsia="da-DK"/>
        </w:rPr>
        <w:t xml:space="preserve">2.2.2.1. </w:t>
      </w:r>
      <w:r w:rsidR="00314C35" w:rsidRPr="00522653">
        <w:rPr>
          <w:rFonts w:eastAsia="Times New Roman" w:cs="Times New Roman"/>
          <w:iCs/>
          <w:color w:val="000000"/>
          <w:lang w:eastAsia="da-DK"/>
        </w:rPr>
        <w:t>Kompetence til vurdering af aspekter omfattet af hhv. del I og II af vurderingsrapporten</w:t>
      </w:r>
    </w:p>
    <w:p w14:paraId="152DFCB9" w14:textId="77777777" w:rsidR="00314C35" w:rsidRPr="00522653" w:rsidRDefault="00522653" w:rsidP="00522653">
      <w:pPr>
        <w:ind w:left="720"/>
        <w:rPr>
          <w:rFonts w:eastAsia="Times New Roman" w:cs="Times New Roman"/>
          <w:iCs/>
          <w:color w:val="000000"/>
          <w:lang w:eastAsia="da-DK"/>
        </w:rPr>
      </w:pPr>
      <w:r>
        <w:rPr>
          <w:rFonts w:eastAsia="Times New Roman" w:cs="Times New Roman"/>
          <w:iCs/>
          <w:color w:val="000000"/>
          <w:lang w:eastAsia="da-DK"/>
        </w:rPr>
        <w:t>2.2.2.2. Pr</w:t>
      </w:r>
      <w:r w:rsidR="00314C35" w:rsidRPr="00522653">
        <w:rPr>
          <w:rFonts w:eastAsia="Times New Roman" w:cs="Times New Roman"/>
          <w:iCs/>
          <w:color w:val="000000"/>
          <w:lang w:eastAsia="da-DK"/>
        </w:rPr>
        <w:t>oceduren generelt ved behandling af en ansøgning</w:t>
      </w:r>
    </w:p>
    <w:p w14:paraId="20451156" w14:textId="77777777" w:rsidR="00314C35" w:rsidRPr="00522653" w:rsidRDefault="00522653" w:rsidP="00522653">
      <w:pPr>
        <w:ind w:left="720"/>
        <w:rPr>
          <w:rFonts w:eastAsia="Times New Roman" w:cs="Times New Roman"/>
          <w:iCs/>
          <w:color w:val="000000"/>
          <w:lang w:eastAsia="da-DK"/>
        </w:rPr>
      </w:pPr>
      <w:r>
        <w:rPr>
          <w:rFonts w:eastAsia="Times New Roman" w:cs="Times New Roman"/>
          <w:iCs/>
          <w:color w:val="000000"/>
          <w:lang w:eastAsia="da-DK"/>
        </w:rPr>
        <w:t xml:space="preserve">2.2.2.3. </w:t>
      </w:r>
      <w:r w:rsidR="00314C35" w:rsidRPr="00522653">
        <w:rPr>
          <w:rFonts w:eastAsia="Times New Roman" w:cs="Times New Roman"/>
          <w:iCs/>
          <w:color w:val="000000"/>
          <w:lang w:eastAsia="da-DK"/>
        </w:rPr>
        <w:t>Valg af rapporterende medlemsstat og validering af ansøgning (Danmark er berørt medlemsstat)</w:t>
      </w:r>
    </w:p>
    <w:p w14:paraId="14B6D8B3" w14:textId="77777777" w:rsidR="00314C35" w:rsidRPr="00522653" w:rsidRDefault="009E459D" w:rsidP="00522653">
      <w:pPr>
        <w:ind w:left="720"/>
        <w:rPr>
          <w:rFonts w:eastAsia="Times New Roman" w:cs="Times New Roman"/>
          <w:iCs/>
          <w:color w:val="000000"/>
          <w:lang w:eastAsia="da-DK"/>
        </w:rPr>
      </w:pPr>
      <w:r>
        <w:rPr>
          <w:rFonts w:eastAsia="Times New Roman" w:cs="Times New Roman"/>
          <w:iCs/>
          <w:color w:val="000000"/>
          <w:lang w:eastAsia="da-DK"/>
        </w:rPr>
        <w:t xml:space="preserve">2.2.2.4. </w:t>
      </w:r>
      <w:r w:rsidR="00314C35" w:rsidRPr="00522653">
        <w:rPr>
          <w:rFonts w:eastAsia="Times New Roman" w:cs="Times New Roman"/>
          <w:iCs/>
          <w:color w:val="000000"/>
          <w:lang w:eastAsia="da-DK"/>
        </w:rPr>
        <w:t>Vurderingsrapportens del I (Danmark er berørt medlemsstat)</w:t>
      </w:r>
    </w:p>
    <w:p w14:paraId="45A4174E" w14:textId="77777777" w:rsidR="00314C35" w:rsidRPr="00522653" w:rsidRDefault="009E459D" w:rsidP="00522653">
      <w:pPr>
        <w:ind w:left="720"/>
        <w:rPr>
          <w:rFonts w:eastAsia="Times New Roman" w:cs="Times New Roman"/>
          <w:iCs/>
          <w:color w:val="000000"/>
          <w:lang w:eastAsia="da-DK"/>
        </w:rPr>
      </w:pPr>
      <w:r>
        <w:rPr>
          <w:rFonts w:eastAsia="Times New Roman" w:cs="Times New Roman"/>
          <w:iCs/>
          <w:color w:val="000000"/>
          <w:lang w:eastAsia="da-DK"/>
        </w:rPr>
        <w:t xml:space="preserve">2.2.2.5. </w:t>
      </w:r>
      <w:r w:rsidR="00314C35" w:rsidRPr="00522653">
        <w:rPr>
          <w:rFonts w:eastAsia="Times New Roman" w:cs="Times New Roman"/>
          <w:iCs/>
          <w:color w:val="000000"/>
          <w:lang w:eastAsia="da-DK"/>
        </w:rPr>
        <w:t>Danmark som rapporterende medlemsstat</w:t>
      </w:r>
    </w:p>
    <w:p w14:paraId="431EE1BA" w14:textId="77777777" w:rsidR="00314C35" w:rsidRPr="00522653" w:rsidRDefault="009E459D" w:rsidP="00522653">
      <w:pPr>
        <w:ind w:left="720"/>
        <w:rPr>
          <w:rFonts w:eastAsia="Times New Roman" w:cs="Times New Roman"/>
          <w:iCs/>
          <w:color w:val="000000"/>
          <w:lang w:eastAsia="da-DK"/>
        </w:rPr>
      </w:pPr>
      <w:r>
        <w:rPr>
          <w:rFonts w:eastAsia="Times New Roman" w:cs="Times New Roman"/>
          <w:iCs/>
          <w:color w:val="000000"/>
          <w:lang w:eastAsia="da-DK"/>
        </w:rPr>
        <w:t xml:space="preserve">2.2.2.6. </w:t>
      </w:r>
      <w:r w:rsidR="00314C35" w:rsidRPr="00522653">
        <w:rPr>
          <w:rFonts w:eastAsia="Times New Roman" w:cs="Times New Roman"/>
          <w:iCs/>
          <w:color w:val="000000"/>
          <w:lang w:eastAsia="da-DK"/>
        </w:rPr>
        <w:t>Vurderingsrapportens del II</w:t>
      </w:r>
    </w:p>
    <w:p w14:paraId="12C686F9" w14:textId="77777777" w:rsidR="00314C35" w:rsidRPr="00522653" w:rsidRDefault="009E459D" w:rsidP="00522653">
      <w:pPr>
        <w:ind w:left="720"/>
        <w:rPr>
          <w:rFonts w:eastAsia="Times New Roman" w:cs="Times New Roman"/>
          <w:iCs/>
          <w:color w:val="000000"/>
          <w:lang w:eastAsia="da-DK"/>
        </w:rPr>
      </w:pPr>
      <w:r>
        <w:rPr>
          <w:rFonts w:eastAsia="Times New Roman" w:cs="Times New Roman"/>
          <w:iCs/>
          <w:color w:val="000000"/>
          <w:lang w:eastAsia="da-DK"/>
        </w:rPr>
        <w:t xml:space="preserve">2.2.2.7. </w:t>
      </w:r>
      <w:r w:rsidR="00314C35" w:rsidRPr="00522653">
        <w:rPr>
          <w:rFonts w:eastAsia="Times New Roman" w:cs="Times New Roman"/>
          <w:iCs/>
          <w:color w:val="000000"/>
          <w:lang w:eastAsia="da-DK"/>
        </w:rPr>
        <w:t xml:space="preserve">Afgørelse </w:t>
      </w:r>
      <w:r w:rsidR="008647A7" w:rsidRPr="00522653">
        <w:rPr>
          <w:rFonts w:eastAsia="Times New Roman" w:cs="Times New Roman"/>
          <w:iCs/>
          <w:color w:val="000000"/>
          <w:lang w:eastAsia="da-DK"/>
        </w:rPr>
        <w:t>om</w:t>
      </w:r>
      <w:r w:rsidR="00314C35" w:rsidRPr="00522653">
        <w:rPr>
          <w:rFonts w:eastAsia="Times New Roman" w:cs="Times New Roman"/>
          <w:iCs/>
          <w:color w:val="000000"/>
          <w:lang w:eastAsia="da-DK"/>
        </w:rPr>
        <w:t xml:space="preserve"> godkendelse af ansøgning</w:t>
      </w:r>
    </w:p>
    <w:p w14:paraId="6534AF3C" w14:textId="77777777" w:rsidR="00314C35" w:rsidRDefault="00314C35" w:rsidP="00314C35">
      <w:pPr>
        <w:pStyle w:val="Listeafsnit"/>
        <w:numPr>
          <w:ilvl w:val="1"/>
          <w:numId w:val="6"/>
        </w:numPr>
        <w:rPr>
          <w:rFonts w:eastAsia="Times New Roman" w:cs="Times New Roman"/>
          <w:iCs/>
          <w:color w:val="000000"/>
          <w:lang w:eastAsia="da-DK"/>
        </w:rPr>
      </w:pPr>
      <w:r>
        <w:rPr>
          <w:rFonts w:eastAsia="Times New Roman" w:cs="Times New Roman"/>
          <w:iCs/>
          <w:color w:val="000000"/>
          <w:lang w:eastAsia="da-DK"/>
        </w:rPr>
        <w:t>Opfølgning på forsøg</w:t>
      </w:r>
    </w:p>
    <w:p w14:paraId="31337427" w14:textId="77777777" w:rsidR="00314C35" w:rsidRDefault="00314C35" w:rsidP="00314C35">
      <w:pPr>
        <w:pStyle w:val="Listeafsnit"/>
        <w:numPr>
          <w:ilvl w:val="2"/>
          <w:numId w:val="6"/>
        </w:numPr>
        <w:rPr>
          <w:rFonts w:eastAsia="Times New Roman" w:cs="Times New Roman"/>
          <w:iCs/>
          <w:color w:val="000000"/>
          <w:lang w:eastAsia="da-DK"/>
        </w:rPr>
      </w:pPr>
      <w:r>
        <w:rPr>
          <w:rFonts w:eastAsia="Times New Roman" w:cs="Times New Roman"/>
          <w:iCs/>
          <w:color w:val="000000"/>
          <w:lang w:eastAsia="da-DK"/>
        </w:rPr>
        <w:t>Gældende ret</w:t>
      </w:r>
    </w:p>
    <w:p w14:paraId="1DFBD077" w14:textId="77777777" w:rsidR="00314C35" w:rsidRDefault="00314C35" w:rsidP="00314C35">
      <w:pPr>
        <w:pStyle w:val="Listeafsnit"/>
        <w:numPr>
          <w:ilvl w:val="2"/>
          <w:numId w:val="6"/>
        </w:numPr>
        <w:rPr>
          <w:rFonts w:eastAsia="Times New Roman" w:cs="Times New Roman"/>
          <w:iCs/>
          <w:color w:val="000000"/>
          <w:lang w:eastAsia="da-DK"/>
        </w:rPr>
      </w:pPr>
      <w:r>
        <w:rPr>
          <w:rFonts w:eastAsia="Times New Roman" w:cs="Times New Roman"/>
          <w:iCs/>
          <w:color w:val="000000"/>
          <w:lang w:eastAsia="da-DK"/>
        </w:rPr>
        <w:t>Forslag</w:t>
      </w:r>
    </w:p>
    <w:p w14:paraId="607925F8" w14:textId="77777777" w:rsidR="00314C35" w:rsidRDefault="00314C35" w:rsidP="00314C35">
      <w:pPr>
        <w:pStyle w:val="Listeafsnit"/>
        <w:numPr>
          <w:ilvl w:val="1"/>
          <w:numId w:val="6"/>
        </w:numPr>
        <w:rPr>
          <w:rFonts w:eastAsia="Times New Roman" w:cs="Times New Roman"/>
          <w:iCs/>
          <w:color w:val="000000"/>
          <w:lang w:eastAsia="da-DK"/>
        </w:rPr>
      </w:pPr>
      <w:r>
        <w:rPr>
          <w:rFonts w:eastAsia="Times New Roman" w:cs="Times New Roman"/>
          <w:iCs/>
          <w:color w:val="000000"/>
          <w:lang w:eastAsia="da-DK"/>
        </w:rPr>
        <w:t>Lægemiddelstyrelsens og komiteernes inspektioner af forsøgssteder</w:t>
      </w:r>
    </w:p>
    <w:p w14:paraId="22B2728A" w14:textId="77777777" w:rsidR="00314C35" w:rsidRDefault="00314C35" w:rsidP="00314C35">
      <w:pPr>
        <w:pStyle w:val="Listeafsnit"/>
        <w:numPr>
          <w:ilvl w:val="2"/>
          <w:numId w:val="6"/>
        </w:numPr>
        <w:rPr>
          <w:rFonts w:eastAsia="Times New Roman" w:cs="Times New Roman"/>
          <w:iCs/>
          <w:color w:val="000000"/>
          <w:lang w:eastAsia="da-DK"/>
        </w:rPr>
      </w:pPr>
      <w:r>
        <w:rPr>
          <w:rFonts w:eastAsia="Times New Roman" w:cs="Times New Roman"/>
          <w:iCs/>
          <w:color w:val="000000"/>
          <w:lang w:eastAsia="da-DK"/>
        </w:rPr>
        <w:t>Gældende ret</w:t>
      </w:r>
    </w:p>
    <w:p w14:paraId="32E0CAA3" w14:textId="77777777" w:rsidR="00314C35" w:rsidRDefault="00314C35" w:rsidP="00314C35">
      <w:pPr>
        <w:pStyle w:val="Listeafsnit"/>
        <w:numPr>
          <w:ilvl w:val="2"/>
          <w:numId w:val="6"/>
        </w:numPr>
        <w:rPr>
          <w:rFonts w:eastAsia="Times New Roman" w:cs="Times New Roman"/>
          <w:iCs/>
          <w:color w:val="000000"/>
          <w:lang w:eastAsia="da-DK"/>
        </w:rPr>
      </w:pPr>
      <w:r>
        <w:rPr>
          <w:rFonts w:eastAsia="Times New Roman" w:cs="Times New Roman"/>
          <w:iCs/>
          <w:color w:val="000000"/>
          <w:lang w:eastAsia="da-DK"/>
        </w:rPr>
        <w:t xml:space="preserve"> Forslag</w:t>
      </w:r>
    </w:p>
    <w:p w14:paraId="74CA9306" w14:textId="77777777" w:rsidR="00314C35" w:rsidRDefault="00314C35" w:rsidP="00314C35">
      <w:pPr>
        <w:pStyle w:val="Listeafsnit"/>
        <w:numPr>
          <w:ilvl w:val="1"/>
          <w:numId w:val="6"/>
        </w:numPr>
        <w:rPr>
          <w:rFonts w:eastAsia="Times New Roman" w:cs="Times New Roman"/>
          <w:iCs/>
          <w:color w:val="000000"/>
          <w:lang w:eastAsia="da-DK"/>
        </w:rPr>
      </w:pPr>
      <w:r>
        <w:rPr>
          <w:rFonts w:eastAsia="Times New Roman" w:cs="Times New Roman"/>
          <w:iCs/>
          <w:color w:val="000000"/>
          <w:lang w:eastAsia="da-DK"/>
        </w:rPr>
        <w:t>Lægemiddelstyrelsens og komiteernes adgang til oplysninger om forsøget og forsøgspersoner</w:t>
      </w:r>
    </w:p>
    <w:p w14:paraId="1A7735C8" w14:textId="77777777" w:rsidR="00314C35" w:rsidRDefault="00314C35" w:rsidP="00314C35">
      <w:pPr>
        <w:pStyle w:val="Listeafsnit"/>
        <w:numPr>
          <w:ilvl w:val="2"/>
          <w:numId w:val="6"/>
        </w:numPr>
        <w:rPr>
          <w:rFonts w:eastAsia="Times New Roman" w:cs="Times New Roman"/>
          <w:iCs/>
          <w:color w:val="000000"/>
          <w:lang w:eastAsia="da-DK"/>
        </w:rPr>
      </w:pPr>
      <w:r>
        <w:rPr>
          <w:rFonts w:eastAsia="Times New Roman" w:cs="Times New Roman"/>
          <w:iCs/>
          <w:color w:val="000000"/>
          <w:lang w:eastAsia="da-DK"/>
        </w:rPr>
        <w:t>Gældende ret</w:t>
      </w:r>
    </w:p>
    <w:p w14:paraId="6A570302" w14:textId="77777777" w:rsidR="00314C35" w:rsidRDefault="00314C35" w:rsidP="00314C35">
      <w:pPr>
        <w:pStyle w:val="Listeafsnit"/>
        <w:numPr>
          <w:ilvl w:val="2"/>
          <w:numId w:val="6"/>
        </w:numPr>
        <w:rPr>
          <w:rFonts w:eastAsia="Times New Roman" w:cs="Times New Roman"/>
          <w:iCs/>
          <w:color w:val="000000"/>
          <w:lang w:eastAsia="da-DK"/>
        </w:rPr>
      </w:pPr>
      <w:r>
        <w:rPr>
          <w:rFonts w:eastAsia="Times New Roman" w:cs="Times New Roman"/>
          <w:iCs/>
          <w:color w:val="000000"/>
          <w:lang w:eastAsia="da-DK"/>
        </w:rPr>
        <w:t>Forslag</w:t>
      </w:r>
    </w:p>
    <w:p w14:paraId="271B5D43" w14:textId="77777777" w:rsidR="00314C35" w:rsidRDefault="00314C35" w:rsidP="00314C35">
      <w:pPr>
        <w:pStyle w:val="Listeafsnit"/>
        <w:numPr>
          <w:ilvl w:val="1"/>
          <w:numId w:val="6"/>
        </w:numPr>
        <w:rPr>
          <w:rFonts w:eastAsia="Times New Roman" w:cs="Times New Roman"/>
          <w:iCs/>
          <w:color w:val="000000"/>
          <w:lang w:eastAsia="da-DK"/>
        </w:rPr>
      </w:pPr>
      <w:r>
        <w:rPr>
          <w:rFonts w:eastAsia="Times New Roman" w:cs="Times New Roman"/>
          <w:iCs/>
          <w:color w:val="000000"/>
          <w:lang w:eastAsia="da-DK"/>
        </w:rPr>
        <w:t>Sponsors og investigators adgang til oplysninger som led i kontrol</w:t>
      </w:r>
    </w:p>
    <w:p w14:paraId="5FD59EA4" w14:textId="77777777" w:rsidR="00314C35" w:rsidRDefault="00314C35" w:rsidP="00314C35">
      <w:pPr>
        <w:pStyle w:val="Listeafsnit"/>
        <w:numPr>
          <w:ilvl w:val="2"/>
          <w:numId w:val="6"/>
        </w:numPr>
        <w:rPr>
          <w:rFonts w:eastAsia="Times New Roman" w:cs="Times New Roman"/>
          <w:iCs/>
          <w:color w:val="000000"/>
          <w:lang w:eastAsia="da-DK"/>
        </w:rPr>
      </w:pPr>
      <w:r>
        <w:rPr>
          <w:rFonts w:eastAsia="Times New Roman" w:cs="Times New Roman"/>
          <w:iCs/>
          <w:color w:val="000000"/>
          <w:lang w:eastAsia="da-DK"/>
        </w:rPr>
        <w:t>Gældende ret</w:t>
      </w:r>
    </w:p>
    <w:p w14:paraId="2133E879" w14:textId="77777777" w:rsidR="00314C35" w:rsidRDefault="00314C35" w:rsidP="00314C35">
      <w:pPr>
        <w:pStyle w:val="Listeafsnit"/>
        <w:numPr>
          <w:ilvl w:val="2"/>
          <w:numId w:val="6"/>
        </w:numPr>
        <w:rPr>
          <w:rFonts w:eastAsia="Times New Roman" w:cs="Times New Roman"/>
          <w:iCs/>
          <w:color w:val="000000"/>
          <w:lang w:eastAsia="da-DK"/>
        </w:rPr>
      </w:pPr>
      <w:r>
        <w:rPr>
          <w:rFonts w:eastAsia="Times New Roman" w:cs="Times New Roman"/>
          <w:iCs/>
          <w:color w:val="000000"/>
          <w:lang w:eastAsia="da-DK"/>
        </w:rPr>
        <w:t>Forslag</w:t>
      </w:r>
    </w:p>
    <w:p w14:paraId="5F6A3D33" w14:textId="77777777" w:rsidR="00314C35" w:rsidRDefault="00314C35" w:rsidP="00314C35">
      <w:pPr>
        <w:pStyle w:val="Listeafsnit"/>
        <w:numPr>
          <w:ilvl w:val="1"/>
          <w:numId w:val="6"/>
        </w:numPr>
        <w:rPr>
          <w:rFonts w:eastAsia="Times New Roman" w:cs="Times New Roman"/>
          <w:iCs/>
          <w:color w:val="000000"/>
          <w:lang w:eastAsia="da-DK"/>
        </w:rPr>
      </w:pPr>
      <w:r>
        <w:rPr>
          <w:rFonts w:eastAsia="Times New Roman" w:cs="Times New Roman"/>
          <w:iCs/>
          <w:color w:val="000000"/>
          <w:lang w:eastAsia="da-DK"/>
        </w:rPr>
        <w:t>Udenlandske myndigheders adgang til patientjournaler</w:t>
      </w:r>
    </w:p>
    <w:p w14:paraId="09BAC62A" w14:textId="77777777" w:rsidR="00314C35" w:rsidRDefault="00314C35" w:rsidP="00314C35">
      <w:pPr>
        <w:pStyle w:val="Listeafsnit"/>
        <w:numPr>
          <w:ilvl w:val="2"/>
          <w:numId w:val="6"/>
        </w:numPr>
        <w:rPr>
          <w:rFonts w:eastAsia="Times New Roman" w:cs="Times New Roman"/>
          <w:iCs/>
          <w:color w:val="000000"/>
          <w:lang w:eastAsia="da-DK"/>
        </w:rPr>
      </w:pPr>
      <w:r>
        <w:rPr>
          <w:rFonts w:eastAsia="Times New Roman" w:cs="Times New Roman"/>
          <w:iCs/>
          <w:color w:val="000000"/>
          <w:lang w:eastAsia="da-DK"/>
        </w:rPr>
        <w:t xml:space="preserve"> Gældende ret</w:t>
      </w:r>
    </w:p>
    <w:p w14:paraId="5D50FDAA" w14:textId="77777777" w:rsidR="00314C35" w:rsidRDefault="00314C35" w:rsidP="00314C35">
      <w:pPr>
        <w:pStyle w:val="Listeafsnit"/>
        <w:numPr>
          <w:ilvl w:val="2"/>
          <w:numId w:val="6"/>
        </w:numPr>
        <w:rPr>
          <w:rFonts w:eastAsia="Times New Roman" w:cs="Times New Roman"/>
          <w:iCs/>
          <w:color w:val="000000"/>
          <w:lang w:eastAsia="da-DK"/>
        </w:rPr>
      </w:pPr>
      <w:r>
        <w:rPr>
          <w:rFonts w:eastAsia="Times New Roman" w:cs="Times New Roman"/>
          <w:iCs/>
          <w:color w:val="000000"/>
          <w:lang w:eastAsia="da-DK"/>
        </w:rPr>
        <w:t>Forslag</w:t>
      </w:r>
    </w:p>
    <w:p w14:paraId="07205CBF" w14:textId="77777777" w:rsidR="00314C35" w:rsidRDefault="00314C35" w:rsidP="00314C35">
      <w:pPr>
        <w:pStyle w:val="Listeafsnit"/>
        <w:numPr>
          <w:ilvl w:val="1"/>
          <w:numId w:val="6"/>
        </w:numPr>
        <w:rPr>
          <w:rFonts w:eastAsia="Times New Roman" w:cs="Times New Roman"/>
          <w:iCs/>
          <w:color w:val="000000"/>
          <w:lang w:eastAsia="da-DK"/>
        </w:rPr>
      </w:pPr>
      <w:r>
        <w:rPr>
          <w:rFonts w:eastAsia="Times New Roman" w:cs="Times New Roman"/>
          <w:iCs/>
          <w:color w:val="000000"/>
          <w:lang w:eastAsia="da-DK"/>
        </w:rPr>
        <w:t>Nationalt kontaktpunkt</w:t>
      </w:r>
    </w:p>
    <w:p w14:paraId="7F92B3C5" w14:textId="77777777" w:rsidR="00314C35" w:rsidRDefault="00314C35" w:rsidP="00314C35">
      <w:pPr>
        <w:pStyle w:val="Listeafsnit"/>
        <w:numPr>
          <w:ilvl w:val="2"/>
          <w:numId w:val="6"/>
        </w:numPr>
        <w:rPr>
          <w:rFonts w:eastAsia="Times New Roman" w:cs="Times New Roman"/>
          <w:iCs/>
          <w:color w:val="000000"/>
          <w:lang w:eastAsia="da-DK"/>
        </w:rPr>
      </w:pPr>
      <w:r>
        <w:rPr>
          <w:rFonts w:eastAsia="Times New Roman" w:cs="Times New Roman"/>
          <w:iCs/>
          <w:color w:val="000000"/>
          <w:lang w:eastAsia="da-DK"/>
        </w:rPr>
        <w:lastRenderedPageBreak/>
        <w:t>Gældende ret</w:t>
      </w:r>
    </w:p>
    <w:p w14:paraId="3A078919" w14:textId="77777777" w:rsidR="00314C35" w:rsidRDefault="00314C35" w:rsidP="00314C35">
      <w:pPr>
        <w:pStyle w:val="Listeafsnit"/>
        <w:numPr>
          <w:ilvl w:val="2"/>
          <w:numId w:val="6"/>
        </w:numPr>
        <w:rPr>
          <w:rFonts w:eastAsia="Times New Roman" w:cs="Times New Roman"/>
          <w:iCs/>
          <w:color w:val="000000"/>
          <w:lang w:eastAsia="da-DK"/>
        </w:rPr>
      </w:pPr>
      <w:r>
        <w:rPr>
          <w:rFonts w:eastAsia="Times New Roman" w:cs="Times New Roman"/>
          <w:iCs/>
          <w:color w:val="000000"/>
          <w:lang w:eastAsia="da-DK"/>
        </w:rPr>
        <w:t>Forslag</w:t>
      </w:r>
    </w:p>
    <w:p w14:paraId="4E2359B9" w14:textId="77777777" w:rsidR="00314C35" w:rsidRDefault="00314C35" w:rsidP="00314C35">
      <w:pPr>
        <w:pStyle w:val="Listeafsnit"/>
        <w:numPr>
          <w:ilvl w:val="1"/>
          <w:numId w:val="6"/>
        </w:numPr>
        <w:rPr>
          <w:rFonts w:eastAsia="Times New Roman" w:cs="Times New Roman"/>
          <w:iCs/>
          <w:color w:val="000000"/>
          <w:lang w:eastAsia="da-DK"/>
        </w:rPr>
      </w:pPr>
      <w:r>
        <w:rPr>
          <w:rFonts w:eastAsia="Times New Roman" w:cs="Times New Roman"/>
          <w:iCs/>
          <w:color w:val="000000"/>
          <w:lang w:eastAsia="da-DK"/>
        </w:rPr>
        <w:t>Stedfortrædende samtykke (retlig repræsentant)</w:t>
      </w:r>
    </w:p>
    <w:p w14:paraId="3D35FFA6" w14:textId="77777777" w:rsidR="00314C35" w:rsidRDefault="00314C35" w:rsidP="00314C35">
      <w:pPr>
        <w:pStyle w:val="Listeafsnit"/>
        <w:numPr>
          <w:ilvl w:val="2"/>
          <w:numId w:val="6"/>
        </w:numPr>
        <w:rPr>
          <w:rFonts w:eastAsia="Times New Roman" w:cs="Times New Roman"/>
          <w:iCs/>
          <w:color w:val="000000"/>
          <w:lang w:eastAsia="da-DK"/>
        </w:rPr>
      </w:pPr>
      <w:r>
        <w:rPr>
          <w:rFonts w:eastAsia="Times New Roman" w:cs="Times New Roman"/>
          <w:iCs/>
          <w:color w:val="000000"/>
          <w:lang w:eastAsia="da-DK"/>
        </w:rPr>
        <w:t xml:space="preserve"> Gældende re</w:t>
      </w:r>
      <w:r w:rsidR="00C90A1E">
        <w:rPr>
          <w:rFonts w:eastAsia="Times New Roman" w:cs="Times New Roman"/>
          <w:iCs/>
          <w:color w:val="000000"/>
          <w:lang w:eastAsia="da-DK"/>
        </w:rPr>
        <w:t>t</w:t>
      </w:r>
    </w:p>
    <w:p w14:paraId="5B9D5D4B" w14:textId="77777777" w:rsidR="00314C35" w:rsidRPr="00937D99" w:rsidRDefault="00937D99" w:rsidP="00937D99">
      <w:pPr>
        <w:ind w:left="720"/>
        <w:rPr>
          <w:rFonts w:eastAsia="Times New Roman" w:cs="Times New Roman"/>
          <w:iCs/>
          <w:color w:val="000000"/>
          <w:lang w:eastAsia="da-DK"/>
        </w:rPr>
      </w:pPr>
      <w:r>
        <w:rPr>
          <w:rFonts w:eastAsia="Times New Roman" w:cs="Times New Roman"/>
          <w:iCs/>
          <w:color w:val="000000"/>
          <w:lang w:eastAsia="da-DK"/>
        </w:rPr>
        <w:t xml:space="preserve">2.9.1.1. </w:t>
      </w:r>
      <w:r w:rsidR="00314C35" w:rsidRPr="00937D99">
        <w:rPr>
          <w:rFonts w:eastAsia="Times New Roman" w:cs="Times New Roman"/>
          <w:iCs/>
          <w:color w:val="000000"/>
          <w:lang w:eastAsia="da-DK"/>
        </w:rPr>
        <w:t>Mindreårige</w:t>
      </w:r>
    </w:p>
    <w:p w14:paraId="3F10E5DB" w14:textId="77777777" w:rsidR="00314C35" w:rsidRPr="00937D99" w:rsidRDefault="00937D99" w:rsidP="00937D99">
      <w:pPr>
        <w:ind w:left="720"/>
        <w:rPr>
          <w:rFonts w:eastAsia="Times New Roman" w:cs="Times New Roman"/>
          <w:iCs/>
          <w:color w:val="000000"/>
          <w:lang w:eastAsia="da-DK"/>
        </w:rPr>
      </w:pPr>
      <w:r>
        <w:rPr>
          <w:rFonts w:eastAsia="Times New Roman" w:cs="Times New Roman"/>
          <w:iCs/>
          <w:color w:val="000000"/>
          <w:lang w:eastAsia="da-DK"/>
        </w:rPr>
        <w:t>2.9.1.</w:t>
      </w:r>
      <w:r w:rsidR="00F5358E">
        <w:rPr>
          <w:rFonts w:eastAsia="Times New Roman" w:cs="Times New Roman"/>
          <w:iCs/>
          <w:color w:val="000000"/>
          <w:lang w:eastAsia="da-DK"/>
        </w:rPr>
        <w:t>2</w:t>
      </w:r>
      <w:r>
        <w:rPr>
          <w:rFonts w:eastAsia="Times New Roman" w:cs="Times New Roman"/>
          <w:iCs/>
          <w:color w:val="000000"/>
          <w:lang w:eastAsia="da-DK"/>
        </w:rPr>
        <w:t xml:space="preserve">. </w:t>
      </w:r>
      <w:r w:rsidR="00314C35" w:rsidRPr="00937D99">
        <w:rPr>
          <w:rFonts w:eastAsia="Times New Roman" w:cs="Times New Roman"/>
          <w:iCs/>
          <w:color w:val="000000"/>
          <w:lang w:eastAsia="da-DK"/>
        </w:rPr>
        <w:t>Personer under værgemål</w:t>
      </w:r>
    </w:p>
    <w:p w14:paraId="064ED3B6" w14:textId="77777777" w:rsidR="00314C35" w:rsidRPr="00937D99" w:rsidRDefault="00937D99" w:rsidP="00937D99">
      <w:pPr>
        <w:ind w:left="720"/>
        <w:rPr>
          <w:rFonts w:eastAsia="Times New Roman" w:cs="Times New Roman"/>
          <w:iCs/>
          <w:color w:val="000000"/>
          <w:lang w:eastAsia="da-DK"/>
        </w:rPr>
      </w:pPr>
      <w:r>
        <w:rPr>
          <w:rFonts w:eastAsia="Times New Roman" w:cs="Times New Roman"/>
          <w:iCs/>
          <w:color w:val="000000"/>
          <w:lang w:eastAsia="da-DK"/>
        </w:rPr>
        <w:t>2.9.1.</w:t>
      </w:r>
      <w:r w:rsidR="00F5358E">
        <w:rPr>
          <w:rFonts w:eastAsia="Times New Roman" w:cs="Times New Roman"/>
          <w:iCs/>
          <w:color w:val="000000"/>
          <w:lang w:eastAsia="da-DK"/>
        </w:rPr>
        <w:t>3</w:t>
      </w:r>
      <w:r>
        <w:rPr>
          <w:rFonts w:eastAsia="Times New Roman" w:cs="Times New Roman"/>
          <w:iCs/>
          <w:color w:val="000000"/>
          <w:lang w:eastAsia="da-DK"/>
        </w:rPr>
        <w:t xml:space="preserve">. </w:t>
      </w:r>
      <w:r w:rsidR="00314C35" w:rsidRPr="00937D99">
        <w:rPr>
          <w:rFonts w:eastAsia="Times New Roman" w:cs="Times New Roman"/>
          <w:iCs/>
          <w:color w:val="000000"/>
          <w:lang w:eastAsia="da-DK"/>
        </w:rPr>
        <w:t>Øvrige forsøgspersoner uden handleevne (øvrig voksne inhabile)</w:t>
      </w:r>
    </w:p>
    <w:p w14:paraId="191C95BB" w14:textId="77777777" w:rsidR="00314C35" w:rsidRPr="00937D99" w:rsidRDefault="00937D99" w:rsidP="00937D99">
      <w:pPr>
        <w:ind w:left="720"/>
        <w:rPr>
          <w:rFonts w:eastAsia="Times New Roman" w:cs="Times New Roman"/>
          <w:iCs/>
          <w:color w:val="000000"/>
          <w:lang w:eastAsia="da-DK"/>
        </w:rPr>
      </w:pPr>
      <w:r>
        <w:rPr>
          <w:rFonts w:eastAsia="Times New Roman" w:cs="Times New Roman"/>
          <w:iCs/>
          <w:color w:val="000000"/>
          <w:lang w:eastAsia="da-DK"/>
        </w:rPr>
        <w:t>2.9.1.</w:t>
      </w:r>
      <w:r w:rsidR="00F5358E">
        <w:rPr>
          <w:rFonts w:eastAsia="Times New Roman" w:cs="Times New Roman"/>
          <w:iCs/>
          <w:color w:val="000000"/>
          <w:lang w:eastAsia="da-DK"/>
        </w:rPr>
        <w:t>4</w:t>
      </w:r>
      <w:r>
        <w:rPr>
          <w:rFonts w:eastAsia="Times New Roman" w:cs="Times New Roman"/>
          <w:iCs/>
          <w:color w:val="000000"/>
          <w:lang w:eastAsia="da-DK"/>
        </w:rPr>
        <w:t xml:space="preserve">. </w:t>
      </w:r>
      <w:r w:rsidR="00314C35" w:rsidRPr="00937D99">
        <w:rPr>
          <w:rFonts w:eastAsia="Times New Roman" w:cs="Times New Roman"/>
          <w:iCs/>
          <w:color w:val="000000"/>
          <w:lang w:eastAsia="da-DK"/>
        </w:rPr>
        <w:t>Lægemiddelforsøg i akutte situationer</w:t>
      </w:r>
    </w:p>
    <w:p w14:paraId="78A8EBA4" w14:textId="77777777" w:rsidR="00314C35" w:rsidRPr="00937D99" w:rsidRDefault="00937D99" w:rsidP="00937D99">
      <w:pPr>
        <w:ind w:left="720"/>
        <w:rPr>
          <w:rFonts w:eastAsia="Times New Roman" w:cs="Times New Roman"/>
          <w:iCs/>
          <w:color w:val="000000"/>
          <w:lang w:eastAsia="da-DK"/>
        </w:rPr>
      </w:pPr>
      <w:r>
        <w:rPr>
          <w:rFonts w:eastAsia="Times New Roman" w:cs="Times New Roman"/>
          <w:iCs/>
          <w:color w:val="000000"/>
          <w:lang w:eastAsia="da-DK"/>
        </w:rPr>
        <w:t>2.9.</w:t>
      </w:r>
      <w:r w:rsidR="00F5358E">
        <w:rPr>
          <w:rFonts w:eastAsia="Times New Roman" w:cs="Times New Roman"/>
          <w:iCs/>
          <w:color w:val="000000"/>
          <w:lang w:eastAsia="da-DK"/>
        </w:rPr>
        <w:t xml:space="preserve">2. </w:t>
      </w:r>
      <w:r w:rsidR="00314C35" w:rsidRPr="00937D99">
        <w:rPr>
          <w:rFonts w:eastAsia="Times New Roman" w:cs="Times New Roman"/>
          <w:iCs/>
          <w:color w:val="000000"/>
          <w:lang w:eastAsia="da-DK"/>
        </w:rPr>
        <w:t>Forslag</w:t>
      </w:r>
    </w:p>
    <w:p w14:paraId="0364E213" w14:textId="77777777" w:rsidR="00314C35" w:rsidRPr="00937D99" w:rsidRDefault="00937D99" w:rsidP="00937D99">
      <w:pPr>
        <w:ind w:left="720"/>
        <w:rPr>
          <w:rFonts w:eastAsia="Times New Roman" w:cs="Times New Roman"/>
          <w:iCs/>
          <w:color w:val="000000"/>
          <w:lang w:eastAsia="da-DK"/>
        </w:rPr>
      </w:pPr>
      <w:r>
        <w:rPr>
          <w:rFonts w:eastAsia="Times New Roman" w:cs="Times New Roman"/>
          <w:iCs/>
          <w:color w:val="000000"/>
          <w:lang w:eastAsia="da-DK"/>
        </w:rPr>
        <w:t>2.9.</w:t>
      </w:r>
      <w:r w:rsidR="00F5358E">
        <w:rPr>
          <w:rFonts w:eastAsia="Times New Roman" w:cs="Times New Roman"/>
          <w:iCs/>
          <w:color w:val="000000"/>
          <w:lang w:eastAsia="da-DK"/>
        </w:rPr>
        <w:t>2</w:t>
      </w:r>
      <w:r>
        <w:rPr>
          <w:rFonts w:eastAsia="Times New Roman" w:cs="Times New Roman"/>
          <w:iCs/>
          <w:color w:val="000000"/>
          <w:lang w:eastAsia="da-DK"/>
        </w:rPr>
        <w:t xml:space="preserve">.1. </w:t>
      </w:r>
      <w:r w:rsidR="00314C35" w:rsidRPr="00937D99">
        <w:rPr>
          <w:rFonts w:eastAsia="Times New Roman" w:cs="Times New Roman"/>
          <w:iCs/>
          <w:color w:val="000000"/>
          <w:lang w:eastAsia="da-DK"/>
        </w:rPr>
        <w:t>Mindreårige</w:t>
      </w:r>
    </w:p>
    <w:p w14:paraId="5041B12B" w14:textId="77777777" w:rsidR="00314C35" w:rsidRPr="00937D99" w:rsidRDefault="00937D99" w:rsidP="00937D99">
      <w:pPr>
        <w:ind w:left="720"/>
        <w:rPr>
          <w:rFonts w:eastAsia="Times New Roman" w:cs="Times New Roman"/>
          <w:iCs/>
          <w:color w:val="000000"/>
          <w:lang w:eastAsia="da-DK"/>
        </w:rPr>
      </w:pPr>
      <w:r>
        <w:rPr>
          <w:rFonts w:eastAsia="Times New Roman" w:cs="Times New Roman"/>
          <w:iCs/>
          <w:color w:val="000000"/>
          <w:lang w:eastAsia="da-DK"/>
        </w:rPr>
        <w:t>2.9.</w:t>
      </w:r>
      <w:r w:rsidR="00F5358E">
        <w:rPr>
          <w:rFonts w:eastAsia="Times New Roman" w:cs="Times New Roman"/>
          <w:iCs/>
          <w:color w:val="000000"/>
          <w:lang w:eastAsia="da-DK"/>
        </w:rPr>
        <w:t>2.2</w:t>
      </w:r>
      <w:r>
        <w:rPr>
          <w:rFonts w:eastAsia="Times New Roman" w:cs="Times New Roman"/>
          <w:iCs/>
          <w:color w:val="000000"/>
          <w:lang w:eastAsia="da-DK"/>
        </w:rPr>
        <w:t xml:space="preserve">. </w:t>
      </w:r>
      <w:r w:rsidR="00314C35" w:rsidRPr="00937D99">
        <w:rPr>
          <w:rFonts w:eastAsia="Times New Roman" w:cs="Times New Roman"/>
          <w:iCs/>
          <w:color w:val="000000"/>
          <w:lang w:eastAsia="da-DK"/>
        </w:rPr>
        <w:t>Personer under værgemål</w:t>
      </w:r>
    </w:p>
    <w:p w14:paraId="0336964B" w14:textId="77777777" w:rsidR="00314C35" w:rsidRPr="00937D99" w:rsidRDefault="00937D99" w:rsidP="00937D99">
      <w:pPr>
        <w:ind w:left="720"/>
        <w:rPr>
          <w:rFonts w:eastAsia="Times New Roman" w:cs="Times New Roman"/>
          <w:iCs/>
          <w:color w:val="000000"/>
          <w:lang w:eastAsia="da-DK"/>
        </w:rPr>
      </w:pPr>
      <w:r>
        <w:rPr>
          <w:rFonts w:eastAsia="Times New Roman" w:cs="Times New Roman"/>
          <w:iCs/>
          <w:color w:val="000000"/>
          <w:lang w:eastAsia="da-DK"/>
        </w:rPr>
        <w:t>2.9.</w:t>
      </w:r>
      <w:r w:rsidR="00F5358E">
        <w:rPr>
          <w:rFonts w:eastAsia="Times New Roman" w:cs="Times New Roman"/>
          <w:iCs/>
          <w:color w:val="000000"/>
          <w:lang w:eastAsia="da-DK"/>
        </w:rPr>
        <w:t>2.3.</w:t>
      </w:r>
      <w:r>
        <w:rPr>
          <w:rFonts w:eastAsia="Times New Roman" w:cs="Times New Roman"/>
          <w:iCs/>
          <w:color w:val="000000"/>
          <w:lang w:eastAsia="da-DK"/>
        </w:rPr>
        <w:t xml:space="preserve">1. </w:t>
      </w:r>
      <w:r w:rsidR="00314C35" w:rsidRPr="00937D99">
        <w:rPr>
          <w:rFonts w:eastAsia="Times New Roman" w:cs="Times New Roman"/>
          <w:iCs/>
          <w:color w:val="000000"/>
          <w:lang w:eastAsia="da-DK"/>
        </w:rPr>
        <w:t>Øvrige forsøgspersoner uden handleevne (øvrige voksne inhabile)</w:t>
      </w:r>
    </w:p>
    <w:p w14:paraId="60305C4A" w14:textId="77777777" w:rsidR="00314C35" w:rsidRPr="000056B8" w:rsidRDefault="000056B8" w:rsidP="000056B8">
      <w:pPr>
        <w:rPr>
          <w:rFonts w:eastAsia="Times New Roman" w:cs="Times New Roman"/>
          <w:iCs/>
          <w:color w:val="000000"/>
          <w:lang w:eastAsia="da-DK"/>
        </w:rPr>
      </w:pPr>
      <w:r>
        <w:rPr>
          <w:rFonts w:eastAsia="Times New Roman" w:cs="Times New Roman"/>
          <w:iCs/>
          <w:color w:val="000000"/>
          <w:lang w:eastAsia="da-DK"/>
        </w:rPr>
        <w:t xml:space="preserve">       2.10. </w:t>
      </w:r>
      <w:r w:rsidR="00314C35" w:rsidRPr="000056B8">
        <w:rPr>
          <w:rFonts w:eastAsia="Times New Roman" w:cs="Times New Roman"/>
          <w:iCs/>
          <w:color w:val="000000"/>
          <w:lang w:eastAsia="da-DK"/>
        </w:rPr>
        <w:t>Lægemiddelforsøg i akutte situationer</w:t>
      </w:r>
    </w:p>
    <w:p w14:paraId="3A5160B2" w14:textId="77777777" w:rsidR="00314C35" w:rsidRPr="009D32EC" w:rsidRDefault="009D32EC" w:rsidP="009D32EC">
      <w:pPr>
        <w:rPr>
          <w:rFonts w:eastAsia="Times New Roman" w:cs="Times New Roman"/>
          <w:iCs/>
          <w:color w:val="000000"/>
          <w:lang w:eastAsia="da-DK"/>
        </w:rPr>
      </w:pPr>
      <w:r>
        <w:rPr>
          <w:rFonts w:eastAsia="Times New Roman" w:cs="Times New Roman"/>
          <w:iCs/>
          <w:color w:val="000000"/>
          <w:lang w:eastAsia="da-DK"/>
        </w:rPr>
        <w:t xml:space="preserve">       2.11. </w:t>
      </w:r>
      <w:r w:rsidR="00314C35" w:rsidRPr="009D32EC">
        <w:rPr>
          <w:rFonts w:eastAsia="Times New Roman" w:cs="Times New Roman"/>
          <w:iCs/>
          <w:color w:val="000000"/>
          <w:lang w:eastAsia="da-DK"/>
        </w:rPr>
        <w:t>Klageadgang</w:t>
      </w:r>
    </w:p>
    <w:p w14:paraId="5EF76707" w14:textId="77777777" w:rsidR="00314C35" w:rsidRPr="009D32EC" w:rsidRDefault="00314C35" w:rsidP="009D32EC">
      <w:pPr>
        <w:pStyle w:val="Listeafsnit"/>
        <w:numPr>
          <w:ilvl w:val="2"/>
          <w:numId w:val="45"/>
        </w:numPr>
        <w:rPr>
          <w:rFonts w:eastAsia="Times New Roman" w:cs="Times New Roman"/>
          <w:iCs/>
          <w:color w:val="000000"/>
          <w:lang w:eastAsia="da-DK"/>
        </w:rPr>
      </w:pPr>
      <w:r w:rsidRPr="009D32EC">
        <w:rPr>
          <w:rFonts w:eastAsia="Times New Roman" w:cs="Times New Roman"/>
          <w:iCs/>
          <w:color w:val="000000"/>
          <w:lang w:eastAsia="da-DK"/>
        </w:rPr>
        <w:t>Gældende ret</w:t>
      </w:r>
    </w:p>
    <w:p w14:paraId="543853A1" w14:textId="77777777" w:rsidR="00314C35" w:rsidRPr="009D32EC" w:rsidRDefault="007D48F2" w:rsidP="009D32EC">
      <w:pPr>
        <w:pStyle w:val="Listeafsnit"/>
        <w:numPr>
          <w:ilvl w:val="2"/>
          <w:numId w:val="45"/>
        </w:numPr>
        <w:rPr>
          <w:rFonts w:eastAsia="Times New Roman" w:cs="Times New Roman"/>
          <w:iCs/>
          <w:color w:val="000000"/>
          <w:lang w:eastAsia="da-DK"/>
        </w:rPr>
      </w:pPr>
      <w:r w:rsidRPr="009D32EC">
        <w:rPr>
          <w:rFonts w:eastAsia="Times New Roman" w:cs="Times New Roman"/>
          <w:iCs/>
          <w:color w:val="000000"/>
          <w:lang w:eastAsia="da-DK"/>
        </w:rPr>
        <w:t>F</w:t>
      </w:r>
      <w:r w:rsidR="00314C35" w:rsidRPr="009D32EC">
        <w:rPr>
          <w:rFonts w:eastAsia="Times New Roman" w:cs="Times New Roman"/>
          <w:iCs/>
          <w:color w:val="000000"/>
          <w:lang w:eastAsia="da-DK"/>
        </w:rPr>
        <w:t>orslag</w:t>
      </w:r>
    </w:p>
    <w:p w14:paraId="0FED2A66" w14:textId="77777777" w:rsidR="00314C35" w:rsidRPr="009D32EC" w:rsidRDefault="00314C35" w:rsidP="009D32EC">
      <w:pPr>
        <w:pStyle w:val="Listeafsnit"/>
        <w:numPr>
          <w:ilvl w:val="1"/>
          <w:numId w:val="45"/>
        </w:numPr>
        <w:rPr>
          <w:rFonts w:eastAsia="Times New Roman" w:cs="Times New Roman"/>
          <w:iCs/>
          <w:color w:val="000000"/>
          <w:lang w:eastAsia="da-DK"/>
        </w:rPr>
      </w:pPr>
      <w:r w:rsidRPr="009D32EC">
        <w:rPr>
          <w:rFonts w:eastAsia="Times New Roman" w:cs="Times New Roman"/>
          <w:iCs/>
          <w:color w:val="000000"/>
          <w:lang w:eastAsia="da-DK"/>
        </w:rPr>
        <w:t>Finansiering</w:t>
      </w:r>
    </w:p>
    <w:p w14:paraId="1880358B" w14:textId="77777777" w:rsidR="00314C35" w:rsidRPr="00787B48" w:rsidRDefault="00314C35" w:rsidP="00787B48">
      <w:pPr>
        <w:pStyle w:val="Listeafsnit"/>
        <w:numPr>
          <w:ilvl w:val="2"/>
          <w:numId w:val="45"/>
        </w:numPr>
        <w:rPr>
          <w:rFonts w:eastAsia="Times New Roman" w:cs="Times New Roman"/>
          <w:iCs/>
          <w:color w:val="000000"/>
          <w:lang w:eastAsia="da-DK"/>
        </w:rPr>
      </w:pPr>
      <w:r w:rsidRPr="00787B48">
        <w:rPr>
          <w:rFonts w:eastAsia="Times New Roman" w:cs="Times New Roman"/>
          <w:iCs/>
          <w:color w:val="000000"/>
          <w:lang w:eastAsia="da-DK"/>
        </w:rPr>
        <w:t>Gældende ret</w:t>
      </w:r>
    </w:p>
    <w:p w14:paraId="0992C89A" w14:textId="77777777" w:rsidR="00314C35" w:rsidRPr="009D32EC" w:rsidRDefault="00314C35" w:rsidP="00787B48">
      <w:pPr>
        <w:pStyle w:val="Listeafsnit"/>
        <w:numPr>
          <w:ilvl w:val="2"/>
          <w:numId w:val="45"/>
        </w:numPr>
        <w:rPr>
          <w:rFonts w:eastAsia="Times New Roman" w:cs="Times New Roman"/>
          <w:iCs/>
          <w:color w:val="000000"/>
          <w:lang w:eastAsia="da-DK"/>
        </w:rPr>
      </w:pPr>
      <w:r w:rsidRPr="009D32EC">
        <w:rPr>
          <w:rFonts w:eastAsia="Times New Roman" w:cs="Times New Roman"/>
          <w:iCs/>
          <w:color w:val="000000"/>
          <w:lang w:eastAsia="da-DK"/>
        </w:rPr>
        <w:t>Forslag</w:t>
      </w:r>
    </w:p>
    <w:p w14:paraId="5F266AC6" w14:textId="77777777" w:rsidR="00314C35" w:rsidRDefault="00314C35" w:rsidP="00787B48">
      <w:pPr>
        <w:pStyle w:val="Listeafsnit"/>
        <w:numPr>
          <w:ilvl w:val="1"/>
          <w:numId w:val="45"/>
        </w:numPr>
        <w:rPr>
          <w:rFonts w:eastAsia="Times New Roman" w:cs="Times New Roman"/>
          <w:iCs/>
          <w:color w:val="000000"/>
          <w:lang w:eastAsia="da-DK"/>
        </w:rPr>
      </w:pPr>
      <w:r>
        <w:rPr>
          <w:rFonts w:eastAsia="Times New Roman" w:cs="Times New Roman"/>
          <w:iCs/>
          <w:color w:val="000000"/>
          <w:lang w:eastAsia="da-DK"/>
        </w:rPr>
        <w:t>Information om mulighed for evt. krav på godtgørelse</w:t>
      </w:r>
    </w:p>
    <w:p w14:paraId="5FDB1BEC" w14:textId="77777777" w:rsidR="00314C35" w:rsidRDefault="00314C35" w:rsidP="00787B48">
      <w:pPr>
        <w:pStyle w:val="Listeafsnit"/>
        <w:numPr>
          <w:ilvl w:val="2"/>
          <w:numId w:val="45"/>
        </w:numPr>
        <w:rPr>
          <w:rFonts w:eastAsia="Times New Roman" w:cs="Times New Roman"/>
          <w:iCs/>
          <w:color w:val="000000"/>
          <w:lang w:eastAsia="da-DK"/>
        </w:rPr>
      </w:pPr>
      <w:r>
        <w:rPr>
          <w:rFonts w:eastAsia="Times New Roman" w:cs="Times New Roman"/>
          <w:iCs/>
          <w:color w:val="000000"/>
          <w:lang w:eastAsia="da-DK"/>
        </w:rPr>
        <w:t>Gældende ret</w:t>
      </w:r>
    </w:p>
    <w:p w14:paraId="73CB1F72" w14:textId="77777777" w:rsidR="00314C35" w:rsidRDefault="00314C35" w:rsidP="00787B48">
      <w:pPr>
        <w:pStyle w:val="Listeafsnit"/>
        <w:numPr>
          <w:ilvl w:val="2"/>
          <w:numId w:val="45"/>
        </w:numPr>
        <w:rPr>
          <w:rFonts w:eastAsia="Times New Roman" w:cs="Times New Roman"/>
          <w:iCs/>
          <w:color w:val="000000"/>
          <w:lang w:eastAsia="da-DK"/>
        </w:rPr>
      </w:pPr>
      <w:r>
        <w:rPr>
          <w:rFonts w:eastAsia="Times New Roman" w:cs="Times New Roman"/>
          <w:iCs/>
          <w:color w:val="000000"/>
          <w:lang w:eastAsia="da-DK"/>
        </w:rPr>
        <w:t>Forslag</w:t>
      </w:r>
    </w:p>
    <w:p w14:paraId="52825C23" w14:textId="77777777" w:rsidR="00314C35" w:rsidRDefault="00314C35" w:rsidP="00787B48">
      <w:pPr>
        <w:pStyle w:val="Listeafsnit"/>
        <w:numPr>
          <w:ilvl w:val="1"/>
          <w:numId w:val="45"/>
        </w:numPr>
        <w:rPr>
          <w:rFonts w:eastAsia="Times New Roman" w:cs="Times New Roman"/>
          <w:iCs/>
          <w:color w:val="000000"/>
          <w:lang w:eastAsia="da-DK"/>
        </w:rPr>
      </w:pPr>
      <w:r>
        <w:rPr>
          <w:rFonts w:eastAsia="Times New Roman" w:cs="Times New Roman"/>
          <w:iCs/>
          <w:color w:val="000000"/>
          <w:lang w:eastAsia="da-DK"/>
        </w:rPr>
        <w:t xml:space="preserve">Emner som fremover reguleres i (EU) forordning nr. 536/2014 </w:t>
      </w:r>
    </w:p>
    <w:p w14:paraId="6E159124" w14:textId="77777777" w:rsidR="00314C35" w:rsidRDefault="00314C35" w:rsidP="00787B48">
      <w:pPr>
        <w:pStyle w:val="Listeafsnit"/>
        <w:numPr>
          <w:ilvl w:val="0"/>
          <w:numId w:val="45"/>
        </w:numPr>
        <w:rPr>
          <w:rFonts w:eastAsia="Times New Roman" w:cs="Times New Roman"/>
          <w:iCs/>
          <w:color w:val="000000"/>
          <w:lang w:eastAsia="da-DK"/>
        </w:rPr>
      </w:pPr>
      <w:r>
        <w:rPr>
          <w:rFonts w:eastAsia="Times New Roman" w:cs="Times New Roman"/>
          <w:iCs/>
          <w:color w:val="000000"/>
          <w:lang w:eastAsia="da-DK"/>
        </w:rPr>
        <w:t>Økonomiske og administrative konsekvenser for det offentlige</w:t>
      </w:r>
    </w:p>
    <w:p w14:paraId="4C6DF788" w14:textId="77777777" w:rsidR="00314C35" w:rsidRPr="009D32EC" w:rsidRDefault="009D32EC" w:rsidP="009D32EC">
      <w:pPr>
        <w:pStyle w:val="Listeafsnit"/>
        <w:numPr>
          <w:ilvl w:val="1"/>
          <w:numId w:val="47"/>
        </w:numPr>
        <w:rPr>
          <w:rFonts w:eastAsia="Times New Roman" w:cs="Times New Roman"/>
          <w:iCs/>
          <w:color w:val="000000"/>
          <w:lang w:eastAsia="da-DK"/>
        </w:rPr>
      </w:pPr>
      <w:r>
        <w:rPr>
          <w:rFonts w:eastAsia="Times New Roman" w:cs="Times New Roman"/>
          <w:iCs/>
          <w:color w:val="000000"/>
          <w:lang w:eastAsia="da-DK"/>
        </w:rPr>
        <w:t>Ad</w:t>
      </w:r>
      <w:r w:rsidR="00314C35" w:rsidRPr="009D32EC">
        <w:rPr>
          <w:rFonts w:eastAsia="Times New Roman" w:cs="Times New Roman"/>
          <w:iCs/>
          <w:color w:val="000000"/>
          <w:lang w:eastAsia="da-DK"/>
        </w:rPr>
        <w:t>ministrative konsekvenser</w:t>
      </w:r>
    </w:p>
    <w:p w14:paraId="31BDF426" w14:textId="77777777" w:rsidR="00314C35" w:rsidRDefault="00314C35" w:rsidP="009D32EC">
      <w:pPr>
        <w:pStyle w:val="Listeafsnit"/>
        <w:numPr>
          <w:ilvl w:val="1"/>
          <w:numId w:val="47"/>
        </w:numPr>
        <w:rPr>
          <w:rFonts w:eastAsia="Times New Roman" w:cs="Times New Roman"/>
          <w:iCs/>
          <w:color w:val="000000"/>
          <w:lang w:eastAsia="da-DK"/>
        </w:rPr>
      </w:pPr>
      <w:r>
        <w:rPr>
          <w:rFonts w:eastAsia="Times New Roman" w:cs="Times New Roman"/>
          <w:iCs/>
          <w:color w:val="000000"/>
          <w:lang w:eastAsia="da-DK"/>
        </w:rPr>
        <w:t>Økonomiske konsekvenser</w:t>
      </w:r>
    </w:p>
    <w:p w14:paraId="5F4C242E" w14:textId="77777777" w:rsidR="00314C35" w:rsidRDefault="00314C35" w:rsidP="009D32EC">
      <w:pPr>
        <w:pStyle w:val="Listeafsnit"/>
        <w:numPr>
          <w:ilvl w:val="0"/>
          <w:numId w:val="47"/>
        </w:numPr>
        <w:rPr>
          <w:rFonts w:eastAsia="Times New Roman" w:cs="Times New Roman"/>
          <w:iCs/>
          <w:color w:val="000000"/>
          <w:lang w:eastAsia="da-DK"/>
        </w:rPr>
      </w:pPr>
      <w:r>
        <w:rPr>
          <w:rFonts w:eastAsia="Times New Roman" w:cs="Times New Roman"/>
          <w:iCs/>
          <w:color w:val="000000"/>
          <w:lang w:eastAsia="da-DK"/>
        </w:rPr>
        <w:t>Økonomiske og administrative konsekvenser for erhvervslivet m</w:t>
      </w:r>
      <w:r w:rsidR="00094421">
        <w:rPr>
          <w:rFonts w:eastAsia="Times New Roman" w:cs="Times New Roman"/>
          <w:iCs/>
          <w:color w:val="000000"/>
          <w:lang w:eastAsia="da-DK"/>
        </w:rPr>
        <w:t>.</w:t>
      </w:r>
      <w:r>
        <w:rPr>
          <w:rFonts w:eastAsia="Times New Roman" w:cs="Times New Roman"/>
          <w:iCs/>
          <w:color w:val="000000"/>
          <w:lang w:eastAsia="da-DK"/>
        </w:rPr>
        <w:t>v.</w:t>
      </w:r>
    </w:p>
    <w:p w14:paraId="0714D267" w14:textId="77777777" w:rsidR="00314C35" w:rsidRDefault="00314C35" w:rsidP="009D32EC">
      <w:pPr>
        <w:pStyle w:val="Listeafsnit"/>
        <w:numPr>
          <w:ilvl w:val="0"/>
          <w:numId w:val="47"/>
        </w:numPr>
        <w:rPr>
          <w:rFonts w:eastAsia="Times New Roman" w:cs="Times New Roman"/>
          <w:iCs/>
          <w:color w:val="000000"/>
          <w:lang w:eastAsia="da-DK"/>
        </w:rPr>
      </w:pPr>
      <w:r>
        <w:rPr>
          <w:rFonts w:eastAsia="Times New Roman" w:cs="Times New Roman"/>
          <w:iCs/>
          <w:color w:val="000000"/>
          <w:lang w:eastAsia="da-DK"/>
        </w:rPr>
        <w:t>Administrative konsekvenser for borgerne</w:t>
      </w:r>
    </w:p>
    <w:p w14:paraId="44D87D27" w14:textId="77777777" w:rsidR="00314C35" w:rsidRDefault="00314C35" w:rsidP="009D32EC">
      <w:pPr>
        <w:pStyle w:val="Listeafsnit"/>
        <w:numPr>
          <w:ilvl w:val="0"/>
          <w:numId w:val="47"/>
        </w:numPr>
        <w:rPr>
          <w:rFonts w:eastAsia="Times New Roman" w:cs="Times New Roman"/>
          <w:iCs/>
          <w:color w:val="000000"/>
          <w:lang w:eastAsia="da-DK"/>
        </w:rPr>
      </w:pPr>
      <w:r>
        <w:rPr>
          <w:rFonts w:eastAsia="Times New Roman" w:cs="Times New Roman"/>
          <w:iCs/>
          <w:color w:val="000000"/>
          <w:lang w:eastAsia="da-DK"/>
        </w:rPr>
        <w:t>Miljømæssige konsekvenser</w:t>
      </w:r>
    </w:p>
    <w:p w14:paraId="404622CD" w14:textId="77777777" w:rsidR="00314C35" w:rsidRDefault="00314C35" w:rsidP="009D32EC">
      <w:pPr>
        <w:pStyle w:val="Listeafsnit"/>
        <w:numPr>
          <w:ilvl w:val="0"/>
          <w:numId w:val="47"/>
        </w:numPr>
        <w:rPr>
          <w:rFonts w:eastAsia="Times New Roman" w:cs="Times New Roman"/>
          <w:iCs/>
          <w:color w:val="000000"/>
          <w:lang w:eastAsia="da-DK"/>
        </w:rPr>
      </w:pPr>
      <w:r>
        <w:rPr>
          <w:rFonts w:eastAsia="Times New Roman" w:cs="Times New Roman"/>
          <w:iCs/>
          <w:color w:val="000000"/>
          <w:lang w:eastAsia="da-DK"/>
        </w:rPr>
        <w:t>Forholdet til EU-retten</w:t>
      </w:r>
    </w:p>
    <w:p w14:paraId="5DB1DFF2" w14:textId="77777777" w:rsidR="00314C35" w:rsidRDefault="00314C35" w:rsidP="009D32EC">
      <w:pPr>
        <w:pStyle w:val="Listeafsnit"/>
        <w:numPr>
          <w:ilvl w:val="0"/>
          <w:numId w:val="47"/>
        </w:numPr>
        <w:rPr>
          <w:rFonts w:eastAsia="Times New Roman" w:cs="Times New Roman"/>
          <w:iCs/>
          <w:color w:val="000000"/>
          <w:lang w:eastAsia="da-DK"/>
        </w:rPr>
      </w:pPr>
      <w:r>
        <w:rPr>
          <w:rFonts w:eastAsia="Times New Roman" w:cs="Times New Roman"/>
          <w:iCs/>
          <w:color w:val="000000"/>
          <w:lang w:eastAsia="da-DK"/>
        </w:rPr>
        <w:t>Hørte myndigheder og organisationer</w:t>
      </w:r>
    </w:p>
    <w:p w14:paraId="0BE94014" w14:textId="77777777" w:rsidR="00314C35" w:rsidRPr="009C00A7" w:rsidRDefault="00314C35" w:rsidP="009D32EC">
      <w:pPr>
        <w:pStyle w:val="Listeafsnit"/>
        <w:numPr>
          <w:ilvl w:val="0"/>
          <w:numId w:val="47"/>
        </w:numPr>
        <w:rPr>
          <w:rFonts w:eastAsia="Times New Roman" w:cs="Times New Roman"/>
          <w:iCs/>
          <w:color w:val="000000"/>
          <w:lang w:eastAsia="da-DK"/>
        </w:rPr>
      </w:pPr>
      <w:r>
        <w:rPr>
          <w:rFonts w:eastAsia="Times New Roman" w:cs="Times New Roman"/>
          <w:iCs/>
          <w:color w:val="000000"/>
          <w:lang w:eastAsia="da-DK"/>
        </w:rPr>
        <w:t>Sammenfattende skema</w:t>
      </w:r>
    </w:p>
    <w:p w14:paraId="0E4BE7BB" w14:textId="77777777" w:rsidR="00F2193B" w:rsidRPr="00314C35" w:rsidRDefault="00F2193B" w:rsidP="00314C35">
      <w:pPr>
        <w:rPr>
          <w:rFonts w:eastAsia="Times New Roman" w:cs="Times New Roman"/>
          <w:iCs/>
          <w:color w:val="000000"/>
          <w:lang w:eastAsia="da-DK"/>
        </w:rPr>
      </w:pPr>
    </w:p>
    <w:tbl>
      <w:tblPr>
        <w:tblW w:w="0" w:type="auto"/>
        <w:tblCellMar>
          <w:left w:w="0" w:type="dxa"/>
          <w:right w:w="0" w:type="dxa"/>
        </w:tblCellMar>
        <w:tblLook w:val="04A0" w:firstRow="1" w:lastRow="0" w:firstColumn="1" w:lastColumn="0" w:noHBand="0" w:noVBand="1"/>
      </w:tblPr>
      <w:tblGrid>
        <w:gridCol w:w="6"/>
      </w:tblGrid>
      <w:tr w:rsidR="00364B20" w:rsidRPr="00577043" w14:paraId="20FF9C21" w14:textId="77777777" w:rsidTr="00364B20">
        <w:tc>
          <w:tcPr>
            <w:tcW w:w="0" w:type="auto"/>
            <w:tcBorders>
              <w:top w:val="nil"/>
              <w:left w:val="nil"/>
              <w:bottom w:val="nil"/>
              <w:right w:val="nil"/>
            </w:tcBorders>
            <w:hideMark/>
          </w:tcPr>
          <w:p w14:paraId="1105A7B6" w14:textId="77777777" w:rsidR="00364B20" w:rsidRPr="00577043" w:rsidRDefault="00364B20" w:rsidP="00E35D75">
            <w:pPr>
              <w:rPr>
                <w:rFonts w:eastAsia="Times New Roman" w:cs="Times New Roman"/>
                <w:color w:val="000000"/>
                <w:lang w:eastAsia="da-DK"/>
              </w:rPr>
            </w:pPr>
          </w:p>
        </w:tc>
      </w:tr>
    </w:tbl>
    <w:p w14:paraId="09155B82" w14:textId="77777777" w:rsidR="00D56F67" w:rsidRPr="00577043" w:rsidRDefault="00D56F67" w:rsidP="00E35D75">
      <w:pPr>
        <w:rPr>
          <w:rFonts w:eastAsia="Times New Roman" w:cs="Times New Roman"/>
          <w:b/>
          <w:bCs/>
          <w:color w:val="000000"/>
          <w:lang w:eastAsia="da-DK"/>
        </w:rPr>
      </w:pPr>
    </w:p>
    <w:p w14:paraId="13644293" w14:textId="77777777" w:rsidR="00D56F67" w:rsidRPr="00577043" w:rsidRDefault="00D56F67" w:rsidP="00E35D75">
      <w:pPr>
        <w:rPr>
          <w:lang w:eastAsia="da-DK"/>
        </w:rPr>
      </w:pPr>
    </w:p>
    <w:p w14:paraId="085ACBA9" w14:textId="77777777" w:rsidR="00364B20" w:rsidRPr="00577043" w:rsidRDefault="00364B20" w:rsidP="00E35D75">
      <w:pPr>
        <w:pStyle w:val="Overskrift2"/>
        <w:keepNext w:val="0"/>
        <w:keepLines w:val="0"/>
        <w:rPr>
          <w:rFonts w:eastAsia="Times New Roman" w:cs="Times New Roman"/>
          <w:lang w:eastAsia="da-DK"/>
        </w:rPr>
      </w:pPr>
      <w:r w:rsidRPr="00577043">
        <w:rPr>
          <w:rFonts w:eastAsia="Times New Roman" w:cs="Times New Roman"/>
          <w:lang w:eastAsia="da-DK"/>
        </w:rPr>
        <w:t>1. Indledning og baggrund</w:t>
      </w:r>
    </w:p>
    <w:p w14:paraId="1E43C619" w14:textId="77777777" w:rsidR="00230514" w:rsidRDefault="00230514" w:rsidP="00230514">
      <w:pPr>
        <w:rPr>
          <w:rFonts w:eastAsia="Times New Roman" w:cs="Times New Roman"/>
          <w:bCs/>
          <w:i/>
          <w:color w:val="000000"/>
          <w:lang w:eastAsia="da-DK"/>
        </w:rPr>
      </w:pPr>
    </w:p>
    <w:p w14:paraId="29136D4C" w14:textId="77777777" w:rsidR="00230514" w:rsidRPr="00230514" w:rsidRDefault="00230514" w:rsidP="00214725">
      <w:pPr>
        <w:pStyle w:val="Overskrift5"/>
        <w:rPr>
          <w:rFonts w:eastAsia="Times New Roman"/>
          <w:lang w:eastAsia="da-DK"/>
        </w:rPr>
      </w:pPr>
      <w:r>
        <w:rPr>
          <w:rFonts w:eastAsia="Times New Roman"/>
          <w:lang w:eastAsia="da-DK"/>
        </w:rPr>
        <w:t>1.1. Formål</w:t>
      </w:r>
    </w:p>
    <w:p w14:paraId="6954C9A2" w14:textId="77777777" w:rsidR="00166A79" w:rsidRDefault="00166A79" w:rsidP="00166A79">
      <w:pPr>
        <w:rPr>
          <w:rFonts w:eastAsia="Times New Roman" w:cs="Times New Roman"/>
          <w:bCs/>
          <w:color w:val="000000"/>
          <w:lang w:eastAsia="da-DK"/>
        </w:rPr>
      </w:pPr>
      <w:r>
        <w:rPr>
          <w:rFonts w:eastAsia="Times New Roman" w:cs="Times New Roman"/>
          <w:bCs/>
          <w:color w:val="000000"/>
          <w:lang w:eastAsia="da-DK"/>
        </w:rPr>
        <w:t xml:space="preserve">Klinisk forskning i nye lægemidler er en væsentlig faktor for den fortsatte udvikling af et moderne sundhedsvæsen med behandlinger af høj standard. Forskningen er afgørende for virksomhedernes muligheder for at udvikle nye, effektive og sikre lægemidler, og den er fundamentet for, at patienter kan få adgang til ny og bedre medicinsk behandling. </w:t>
      </w:r>
    </w:p>
    <w:p w14:paraId="74C84190" w14:textId="77777777" w:rsidR="00A17A13" w:rsidRDefault="00A17A13" w:rsidP="00EC28ED">
      <w:pPr>
        <w:rPr>
          <w:rFonts w:eastAsia="Times New Roman" w:cs="Times New Roman"/>
          <w:bCs/>
          <w:color w:val="000000"/>
          <w:lang w:eastAsia="da-DK"/>
        </w:rPr>
      </w:pPr>
    </w:p>
    <w:p w14:paraId="418818DD" w14:textId="77777777" w:rsidR="004A2C12" w:rsidRDefault="00530E03" w:rsidP="004A2C12">
      <w:pPr>
        <w:rPr>
          <w:rFonts w:eastAsia="Times New Roman" w:cs="Times New Roman"/>
          <w:bCs/>
          <w:color w:val="000000"/>
          <w:lang w:eastAsia="da-DK"/>
        </w:rPr>
      </w:pPr>
      <w:r>
        <w:rPr>
          <w:rFonts w:eastAsia="Times New Roman" w:cs="Times New Roman"/>
          <w:bCs/>
          <w:color w:val="000000"/>
          <w:lang w:eastAsia="da-DK"/>
        </w:rPr>
        <w:t>Forslaget understøtter r</w:t>
      </w:r>
      <w:r w:rsidR="004A2C12">
        <w:rPr>
          <w:rFonts w:eastAsia="Times New Roman" w:cs="Times New Roman"/>
          <w:bCs/>
          <w:color w:val="000000"/>
          <w:lang w:eastAsia="da-DK"/>
        </w:rPr>
        <w:t>egeringen</w:t>
      </w:r>
      <w:r>
        <w:rPr>
          <w:rFonts w:eastAsia="Times New Roman" w:cs="Times New Roman"/>
          <w:bCs/>
          <w:color w:val="000000"/>
          <w:lang w:eastAsia="da-DK"/>
        </w:rPr>
        <w:t xml:space="preserve">s ambition om at </w:t>
      </w:r>
      <w:r w:rsidR="004A2C12">
        <w:rPr>
          <w:rFonts w:eastAsia="Times New Roman" w:cs="Times New Roman"/>
          <w:bCs/>
          <w:color w:val="000000"/>
          <w:lang w:eastAsia="da-DK"/>
        </w:rPr>
        <w:t xml:space="preserve">gøre et godt sundhedsvæsen endnu bedre til gavn for patienterne, og det er samtidig </w:t>
      </w:r>
      <w:r w:rsidR="004A2C12" w:rsidRPr="00577043">
        <w:rPr>
          <w:rFonts w:eastAsia="Times New Roman" w:cs="Times New Roman"/>
          <w:bCs/>
          <w:color w:val="000000"/>
          <w:lang w:eastAsia="da-DK"/>
        </w:rPr>
        <w:t>regeringens mål at smidiggøre rammer og procedurer for kliniske forsøg med henblik på at understøtte en stærk dansk forskende lægemiddelindustri</w:t>
      </w:r>
      <w:r w:rsidR="004A2C12">
        <w:rPr>
          <w:rFonts w:eastAsia="Times New Roman" w:cs="Times New Roman"/>
          <w:bCs/>
          <w:color w:val="000000"/>
          <w:lang w:eastAsia="da-DK"/>
        </w:rPr>
        <w:t>, som det fremgår af regeringsgrundlaget</w:t>
      </w:r>
      <w:r w:rsidR="004A2C12" w:rsidRPr="00577043">
        <w:rPr>
          <w:rFonts w:eastAsia="Times New Roman" w:cs="Times New Roman"/>
          <w:bCs/>
          <w:color w:val="000000"/>
          <w:lang w:eastAsia="da-DK"/>
        </w:rPr>
        <w:t xml:space="preserve">. </w:t>
      </w:r>
    </w:p>
    <w:p w14:paraId="1D2EB153" w14:textId="77777777" w:rsidR="004A2C12" w:rsidRDefault="004A2C12" w:rsidP="004A2C12">
      <w:pPr>
        <w:rPr>
          <w:rFonts w:eastAsia="Times New Roman" w:cs="Times New Roman"/>
          <w:bCs/>
          <w:color w:val="000000"/>
          <w:lang w:eastAsia="da-DK"/>
        </w:rPr>
      </w:pPr>
    </w:p>
    <w:p w14:paraId="23558B3B" w14:textId="77777777" w:rsidR="004A2C12" w:rsidRDefault="004A2C12" w:rsidP="004A2C12">
      <w:pPr>
        <w:rPr>
          <w:rFonts w:eastAsia="Times New Roman" w:cs="Times New Roman"/>
          <w:bCs/>
          <w:color w:val="000000"/>
          <w:lang w:eastAsia="da-DK"/>
        </w:rPr>
      </w:pPr>
      <w:r>
        <w:rPr>
          <w:rFonts w:eastAsia="Times New Roman" w:cs="Times New Roman"/>
          <w:bCs/>
          <w:color w:val="000000"/>
          <w:lang w:eastAsia="da-DK"/>
        </w:rPr>
        <w:t xml:space="preserve">Disse målsætninger understøttes af en ny EU forordning, som fremover skal regulere kliniske forsøg med lægemidler med henblik på bl.a. at beskytte forsøgspersoners interesser og skabe grundlag for at styrke lægemiddelforskningen i EU. </w:t>
      </w:r>
    </w:p>
    <w:p w14:paraId="23CB1440" w14:textId="77777777" w:rsidR="00D75B2C" w:rsidRDefault="00D75B2C" w:rsidP="00230514">
      <w:pPr>
        <w:rPr>
          <w:rFonts w:eastAsia="Times New Roman" w:cs="Times New Roman"/>
          <w:bCs/>
          <w:color w:val="000000"/>
          <w:lang w:eastAsia="da-DK"/>
        </w:rPr>
      </w:pPr>
    </w:p>
    <w:p w14:paraId="40D4AF78" w14:textId="77777777" w:rsidR="00EC28ED" w:rsidRDefault="00EC28ED" w:rsidP="00EC28ED">
      <w:pPr>
        <w:rPr>
          <w:rFonts w:eastAsia="Times New Roman" w:cs="Times New Roman"/>
          <w:bCs/>
          <w:color w:val="000000"/>
          <w:lang w:eastAsia="da-DK"/>
        </w:rPr>
      </w:pPr>
      <w:r>
        <w:rPr>
          <w:rFonts w:eastAsia="Times New Roman" w:cs="Times New Roman"/>
          <w:bCs/>
          <w:color w:val="000000"/>
          <w:lang w:eastAsia="da-DK"/>
        </w:rPr>
        <w:lastRenderedPageBreak/>
        <w:t xml:space="preserve">Formålet med dette lovforslag er at tilpasse rammerne for godkendelse og opfølgning på kliniske forsøg i Danmark for at kunne leve op til </w:t>
      </w:r>
      <w:r w:rsidR="004A2C12">
        <w:rPr>
          <w:rFonts w:eastAsia="Times New Roman" w:cs="Times New Roman"/>
          <w:bCs/>
          <w:color w:val="000000"/>
          <w:lang w:eastAsia="da-DK"/>
        </w:rPr>
        <w:t xml:space="preserve">EU </w:t>
      </w:r>
      <w:r w:rsidR="009E6A96">
        <w:rPr>
          <w:rFonts w:eastAsia="Times New Roman" w:cs="Times New Roman"/>
          <w:bCs/>
          <w:color w:val="000000"/>
          <w:lang w:eastAsia="da-DK"/>
        </w:rPr>
        <w:t>forordningens krav samt</w:t>
      </w:r>
      <w:r>
        <w:rPr>
          <w:rFonts w:eastAsia="Times New Roman" w:cs="Times New Roman"/>
          <w:bCs/>
          <w:color w:val="000000"/>
          <w:lang w:eastAsia="da-DK"/>
        </w:rPr>
        <w:t xml:space="preserve"> </w:t>
      </w:r>
      <w:r w:rsidR="00717E2E">
        <w:rPr>
          <w:rFonts w:eastAsia="Times New Roman" w:cs="Times New Roman"/>
          <w:bCs/>
          <w:color w:val="000000"/>
          <w:lang w:eastAsia="da-DK"/>
        </w:rPr>
        <w:t>regeringens mål om at forbedre rammerne for kliniske forsøg til gavn for danske patienter og den danske lægemiddelindustri</w:t>
      </w:r>
      <w:r>
        <w:rPr>
          <w:rFonts w:eastAsia="Times New Roman" w:cs="Times New Roman"/>
          <w:bCs/>
          <w:color w:val="000000"/>
          <w:lang w:eastAsia="da-DK"/>
        </w:rPr>
        <w:t>.</w:t>
      </w:r>
    </w:p>
    <w:p w14:paraId="3A5C6EBA" w14:textId="77777777" w:rsidR="00D75B2C" w:rsidRDefault="00D75B2C" w:rsidP="00230514">
      <w:pPr>
        <w:rPr>
          <w:rFonts w:eastAsia="Times New Roman" w:cs="Times New Roman"/>
          <w:bCs/>
          <w:color w:val="000000"/>
          <w:lang w:eastAsia="da-DK"/>
        </w:rPr>
      </w:pPr>
    </w:p>
    <w:p w14:paraId="0710B123" w14:textId="77777777" w:rsidR="00717E2E" w:rsidRPr="00577043" w:rsidRDefault="009E6A96" w:rsidP="00717E2E">
      <w:pPr>
        <w:rPr>
          <w:rFonts w:eastAsia="Times New Roman" w:cs="Times New Roman"/>
          <w:bCs/>
          <w:color w:val="000000"/>
          <w:lang w:eastAsia="da-DK"/>
        </w:rPr>
      </w:pPr>
      <w:r>
        <w:rPr>
          <w:rFonts w:eastAsia="Times New Roman" w:cs="Times New Roman"/>
          <w:bCs/>
          <w:color w:val="000000"/>
          <w:lang w:eastAsia="da-DK"/>
        </w:rPr>
        <w:t>Et c</w:t>
      </w:r>
      <w:r w:rsidR="00E838CB">
        <w:rPr>
          <w:rFonts w:eastAsia="Times New Roman" w:cs="Times New Roman"/>
          <w:bCs/>
          <w:color w:val="000000"/>
          <w:lang w:eastAsia="da-DK"/>
        </w:rPr>
        <w:t xml:space="preserve">entralt </w:t>
      </w:r>
      <w:r>
        <w:rPr>
          <w:rFonts w:eastAsia="Times New Roman" w:cs="Times New Roman"/>
          <w:bCs/>
          <w:color w:val="000000"/>
          <w:lang w:eastAsia="da-DK"/>
        </w:rPr>
        <w:t>element i</w:t>
      </w:r>
      <w:r w:rsidR="00E838CB">
        <w:rPr>
          <w:rFonts w:eastAsia="Times New Roman" w:cs="Times New Roman"/>
          <w:bCs/>
          <w:color w:val="000000"/>
          <w:lang w:eastAsia="da-DK"/>
        </w:rPr>
        <w:t xml:space="preserve"> forslaget er ændringer af</w:t>
      </w:r>
      <w:r w:rsidR="00EC28ED" w:rsidRPr="00577043">
        <w:rPr>
          <w:rFonts w:eastAsia="Times New Roman" w:cs="Times New Roman"/>
          <w:bCs/>
          <w:color w:val="000000"/>
          <w:lang w:eastAsia="da-DK"/>
        </w:rPr>
        <w:t xml:space="preserve"> de organisatoriske og administrative rammer for behandling af ansøgninger om lægemiddelforsøg</w:t>
      </w:r>
      <w:r w:rsidR="00717E2E">
        <w:rPr>
          <w:rFonts w:eastAsia="Times New Roman" w:cs="Times New Roman"/>
          <w:bCs/>
          <w:color w:val="000000"/>
          <w:lang w:eastAsia="da-DK"/>
        </w:rPr>
        <w:t>. Dette vil</w:t>
      </w:r>
      <w:r w:rsidR="00EC28ED" w:rsidRPr="00577043">
        <w:rPr>
          <w:rFonts w:eastAsia="Times New Roman" w:cs="Times New Roman"/>
          <w:bCs/>
          <w:color w:val="000000"/>
          <w:lang w:eastAsia="da-DK"/>
        </w:rPr>
        <w:t xml:space="preserve"> sikre et grundlag for en effektiv administration, der kan medvirke til at </w:t>
      </w:r>
      <w:r w:rsidR="00A70A1D">
        <w:rPr>
          <w:rFonts w:eastAsia="Times New Roman" w:cs="Times New Roman"/>
          <w:bCs/>
          <w:color w:val="000000"/>
          <w:lang w:eastAsia="da-DK"/>
        </w:rPr>
        <w:t xml:space="preserve">skabe grundlag for at </w:t>
      </w:r>
      <w:r w:rsidR="00EC28ED" w:rsidRPr="00577043">
        <w:rPr>
          <w:rFonts w:eastAsia="Times New Roman" w:cs="Times New Roman"/>
          <w:bCs/>
          <w:color w:val="000000"/>
          <w:lang w:eastAsia="da-DK"/>
        </w:rPr>
        <w:t>tiltrække flere kliniske forsøg med lægemidler</w:t>
      </w:r>
      <w:r w:rsidR="004A2C12">
        <w:rPr>
          <w:rFonts w:eastAsia="Times New Roman" w:cs="Times New Roman"/>
          <w:bCs/>
          <w:color w:val="000000"/>
          <w:lang w:eastAsia="da-DK"/>
        </w:rPr>
        <w:t xml:space="preserve"> til Danmark</w:t>
      </w:r>
      <w:r w:rsidR="00717E2E">
        <w:rPr>
          <w:rFonts w:eastAsia="Times New Roman" w:cs="Times New Roman"/>
          <w:bCs/>
          <w:color w:val="000000"/>
          <w:lang w:eastAsia="da-DK"/>
        </w:rPr>
        <w:t xml:space="preserve">. </w:t>
      </w:r>
      <w:r w:rsidR="00717E2E" w:rsidRPr="00577043">
        <w:rPr>
          <w:rFonts w:eastAsia="Times New Roman" w:cs="Times New Roman"/>
          <w:bCs/>
          <w:color w:val="000000"/>
          <w:lang w:eastAsia="da-DK"/>
        </w:rPr>
        <w:t>Det vurderes, at et større antal forsøg vil medføre hurtigere indførelse af nye og bedre behandlinger til patienterne samtidig med, at det vil øge kompetencerne i forhold til gennemførelse af forsøg og behandling med lægemidler, hvilket er væsentligt for en øget v</w:t>
      </w:r>
      <w:r w:rsidR="00717E2E">
        <w:rPr>
          <w:rFonts w:eastAsia="Times New Roman" w:cs="Times New Roman"/>
          <w:bCs/>
          <w:color w:val="000000"/>
          <w:lang w:eastAsia="da-DK"/>
        </w:rPr>
        <w:t xml:space="preserve">ækst og beskæftigelse </w:t>
      </w:r>
      <w:r w:rsidR="004A2C12">
        <w:rPr>
          <w:rFonts w:eastAsia="Times New Roman" w:cs="Times New Roman"/>
          <w:bCs/>
          <w:color w:val="000000"/>
          <w:lang w:eastAsia="da-DK"/>
        </w:rPr>
        <w:t>i den danske lægemiddelindustri</w:t>
      </w:r>
      <w:r w:rsidR="00717E2E" w:rsidRPr="00577043">
        <w:rPr>
          <w:rFonts w:eastAsia="Times New Roman" w:cs="Times New Roman"/>
          <w:bCs/>
          <w:color w:val="000000"/>
          <w:lang w:eastAsia="da-DK"/>
        </w:rPr>
        <w:t xml:space="preserve">. </w:t>
      </w:r>
    </w:p>
    <w:p w14:paraId="26683DD8" w14:textId="77777777" w:rsidR="00EC28ED" w:rsidRDefault="00EC28ED" w:rsidP="00230514">
      <w:pPr>
        <w:rPr>
          <w:rFonts w:eastAsia="Times New Roman" w:cs="Times New Roman"/>
          <w:bCs/>
          <w:color w:val="000000"/>
          <w:lang w:eastAsia="da-DK"/>
        </w:rPr>
      </w:pPr>
    </w:p>
    <w:p w14:paraId="08194ECE" w14:textId="77777777" w:rsidR="00F96CAA" w:rsidRPr="00577043" w:rsidRDefault="00F96CAA" w:rsidP="00214725">
      <w:pPr>
        <w:pStyle w:val="Overskrift5"/>
        <w:rPr>
          <w:rFonts w:eastAsia="Times New Roman"/>
          <w:lang w:eastAsia="da-DK"/>
        </w:rPr>
      </w:pPr>
      <w:r w:rsidRPr="00577043">
        <w:rPr>
          <w:rFonts w:eastAsia="Times New Roman"/>
          <w:lang w:eastAsia="da-DK"/>
        </w:rPr>
        <w:t>1.</w:t>
      </w:r>
      <w:r w:rsidR="00D75B2C">
        <w:rPr>
          <w:rFonts w:eastAsia="Times New Roman"/>
          <w:lang w:eastAsia="da-DK"/>
        </w:rPr>
        <w:t>2</w:t>
      </w:r>
      <w:r w:rsidRPr="00577043">
        <w:rPr>
          <w:rFonts w:eastAsia="Times New Roman"/>
          <w:lang w:eastAsia="da-DK"/>
        </w:rPr>
        <w:t xml:space="preserve">. (EU) forordning nr. 536/2014 </w:t>
      </w:r>
    </w:p>
    <w:p w14:paraId="4DF0E550" w14:textId="77777777" w:rsidR="006B6DA4" w:rsidRDefault="007B580C" w:rsidP="00DF56AA">
      <w:pPr>
        <w:rPr>
          <w:rFonts w:eastAsia="Times New Roman" w:cs="Times New Roman"/>
          <w:bCs/>
          <w:color w:val="000000"/>
          <w:lang w:eastAsia="da-DK"/>
        </w:rPr>
      </w:pPr>
      <w:r>
        <w:rPr>
          <w:rFonts w:eastAsia="Times New Roman" w:cs="Times New Roman"/>
          <w:bCs/>
          <w:color w:val="000000"/>
          <w:lang w:eastAsia="da-DK"/>
        </w:rPr>
        <w:t xml:space="preserve">Europa-Parlamentet og Rådet for Den Europæiske Union har i 2014 </w:t>
      </w:r>
      <w:r w:rsidR="00F80F3E">
        <w:rPr>
          <w:rFonts w:eastAsia="Times New Roman" w:cs="Times New Roman"/>
          <w:bCs/>
          <w:color w:val="000000"/>
          <w:lang w:eastAsia="da-DK"/>
        </w:rPr>
        <w:t xml:space="preserve">vedtaget </w:t>
      </w:r>
      <w:r w:rsidR="005A662A" w:rsidRPr="00577043">
        <w:rPr>
          <w:rFonts w:eastAsia="Times New Roman" w:cs="Times New Roman"/>
          <w:bCs/>
          <w:color w:val="000000"/>
          <w:lang w:eastAsia="da-DK"/>
        </w:rPr>
        <w:t xml:space="preserve">forordning (EU) nr. 536/2014 </w:t>
      </w:r>
      <w:r w:rsidR="003655CA">
        <w:rPr>
          <w:rFonts w:eastAsia="Times New Roman" w:cs="Times New Roman"/>
          <w:bCs/>
          <w:color w:val="000000"/>
          <w:lang w:eastAsia="da-DK"/>
        </w:rPr>
        <w:t xml:space="preserve">af 16. april 2014 </w:t>
      </w:r>
      <w:r w:rsidR="005A662A" w:rsidRPr="00577043">
        <w:rPr>
          <w:rFonts w:eastAsia="Times New Roman" w:cs="Times New Roman"/>
          <w:bCs/>
          <w:color w:val="000000"/>
          <w:lang w:eastAsia="da-DK"/>
        </w:rPr>
        <w:t>om kliniske forsøg med humanmedicinske lægemidler og om ophævelse af direktiv 2001/20/EF</w:t>
      </w:r>
      <w:r w:rsidR="003655CA">
        <w:rPr>
          <w:rFonts w:eastAsia="Times New Roman" w:cs="Times New Roman"/>
          <w:bCs/>
          <w:color w:val="000000"/>
          <w:lang w:eastAsia="da-DK"/>
        </w:rPr>
        <w:t xml:space="preserve"> </w:t>
      </w:r>
      <w:r w:rsidR="005A662A" w:rsidRPr="00577043">
        <w:rPr>
          <w:rFonts w:eastAsia="Times New Roman" w:cs="Times New Roman"/>
          <w:bCs/>
          <w:color w:val="000000"/>
          <w:lang w:eastAsia="da-DK"/>
        </w:rPr>
        <w:t>(</w:t>
      </w:r>
      <w:r w:rsidR="00A54F96" w:rsidRPr="00577043">
        <w:rPr>
          <w:rFonts w:eastAsia="Times New Roman" w:cs="Times New Roman"/>
          <w:bCs/>
          <w:color w:val="000000"/>
          <w:lang w:eastAsia="da-DK"/>
        </w:rPr>
        <w:t>herefter ”forordningen”)</w:t>
      </w:r>
      <w:r w:rsidR="005A662A" w:rsidRPr="00577043">
        <w:rPr>
          <w:rFonts w:eastAsia="Times New Roman" w:cs="Times New Roman"/>
          <w:bCs/>
          <w:color w:val="000000"/>
          <w:lang w:eastAsia="da-DK"/>
        </w:rPr>
        <w:t xml:space="preserve">. </w:t>
      </w:r>
    </w:p>
    <w:p w14:paraId="2D9A1BE9" w14:textId="77777777" w:rsidR="006B6DA4" w:rsidRDefault="006B6DA4" w:rsidP="00DF56AA">
      <w:pPr>
        <w:rPr>
          <w:rFonts w:eastAsia="Times New Roman" w:cs="Times New Roman"/>
          <w:bCs/>
          <w:color w:val="000000"/>
          <w:lang w:eastAsia="da-DK"/>
        </w:rPr>
      </w:pPr>
    </w:p>
    <w:p w14:paraId="0C2D7810" w14:textId="77777777" w:rsidR="00F80F3E" w:rsidRDefault="006A3550" w:rsidP="00E35D75">
      <w:pPr>
        <w:rPr>
          <w:rFonts w:eastAsia="Times New Roman" w:cs="Times New Roman"/>
          <w:bCs/>
          <w:color w:val="000000"/>
          <w:lang w:eastAsia="da-DK"/>
        </w:rPr>
      </w:pPr>
      <w:r w:rsidRPr="00577043">
        <w:rPr>
          <w:rFonts w:eastAsia="Times New Roman" w:cs="Times New Roman"/>
          <w:bCs/>
          <w:color w:val="000000"/>
          <w:lang w:eastAsia="da-DK"/>
        </w:rPr>
        <w:t xml:space="preserve">I et klinisk forsøg </w:t>
      </w:r>
      <w:r w:rsidR="001F42A0" w:rsidRPr="00577043">
        <w:rPr>
          <w:rFonts w:eastAsia="Times New Roman" w:cs="Times New Roman"/>
          <w:bCs/>
          <w:color w:val="000000"/>
          <w:lang w:eastAsia="da-DK"/>
        </w:rPr>
        <w:t>er det afgørende</w:t>
      </w:r>
      <w:r w:rsidR="003B0470" w:rsidRPr="00577043">
        <w:rPr>
          <w:rFonts w:eastAsia="Times New Roman" w:cs="Times New Roman"/>
          <w:bCs/>
          <w:color w:val="000000"/>
          <w:lang w:eastAsia="da-DK"/>
        </w:rPr>
        <w:t xml:space="preserve"> at sikre, at </w:t>
      </w:r>
      <w:r w:rsidR="007F3781" w:rsidRPr="00577043">
        <w:rPr>
          <w:rFonts w:eastAsia="Times New Roman" w:cs="Times New Roman"/>
          <w:bCs/>
          <w:color w:val="000000"/>
          <w:lang w:eastAsia="da-DK"/>
        </w:rPr>
        <w:t>forsøgspersoners rettigheder, sikkerhed, værdighed og velbefindende beskyttes</w:t>
      </w:r>
      <w:r w:rsidR="00DD6B77" w:rsidRPr="00577043">
        <w:rPr>
          <w:rFonts w:eastAsia="Times New Roman" w:cs="Times New Roman"/>
          <w:bCs/>
          <w:color w:val="000000"/>
          <w:lang w:eastAsia="da-DK"/>
        </w:rPr>
        <w:t>.</w:t>
      </w:r>
      <w:r w:rsidR="007F3781" w:rsidRPr="00577043">
        <w:rPr>
          <w:rFonts w:eastAsia="Times New Roman" w:cs="Times New Roman"/>
          <w:bCs/>
          <w:color w:val="000000"/>
          <w:lang w:eastAsia="da-DK"/>
        </w:rPr>
        <w:t xml:space="preserve"> Forsøgspersonernes interesser bør </w:t>
      </w:r>
      <w:r w:rsidR="003B0470" w:rsidRPr="00577043">
        <w:rPr>
          <w:rFonts w:eastAsia="Times New Roman" w:cs="Times New Roman"/>
          <w:bCs/>
          <w:color w:val="000000"/>
          <w:lang w:eastAsia="da-DK"/>
        </w:rPr>
        <w:t xml:space="preserve">således </w:t>
      </w:r>
      <w:r w:rsidR="007F3781" w:rsidRPr="00577043">
        <w:rPr>
          <w:rFonts w:eastAsia="Times New Roman" w:cs="Times New Roman"/>
          <w:bCs/>
          <w:color w:val="000000"/>
          <w:lang w:eastAsia="da-DK"/>
        </w:rPr>
        <w:t>altid prioriteres højere end alle andre interesser</w:t>
      </w:r>
      <w:r w:rsidR="00B47B61">
        <w:rPr>
          <w:rFonts w:eastAsia="Times New Roman" w:cs="Times New Roman"/>
          <w:bCs/>
          <w:color w:val="000000"/>
          <w:lang w:eastAsia="da-DK"/>
        </w:rPr>
        <w:t>. Samtidig skal</w:t>
      </w:r>
      <w:r w:rsidR="003B0470" w:rsidRPr="00577043">
        <w:rPr>
          <w:rFonts w:eastAsia="Times New Roman" w:cs="Times New Roman"/>
          <w:bCs/>
          <w:color w:val="000000"/>
          <w:lang w:eastAsia="da-DK"/>
        </w:rPr>
        <w:t xml:space="preserve"> de genererede data fra kliniske forsøg være pålidelige og robuste</w:t>
      </w:r>
      <w:r w:rsidR="00DE13D8" w:rsidRPr="00577043">
        <w:rPr>
          <w:rFonts w:eastAsia="Times New Roman" w:cs="Times New Roman"/>
          <w:bCs/>
          <w:color w:val="000000"/>
          <w:lang w:eastAsia="da-DK"/>
        </w:rPr>
        <w:t>.</w:t>
      </w:r>
      <w:r w:rsidR="007F3781" w:rsidRPr="00577043">
        <w:rPr>
          <w:rFonts w:eastAsia="Times New Roman" w:cs="Times New Roman"/>
          <w:bCs/>
          <w:color w:val="000000"/>
          <w:lang w:eastAsia="da-DK"/>
        </w:rPr>
        <w:t xml:space="preserve"> Dette er udgangspunktet for</w:t>
      </w:r>
      <w:r w:rsidR="005A662A" w:rsidRPr="00577043">
        <w:rPr>
          <w:rFonts w:eastAsia="Times New Roman" w:cs="Times New Roman"/>
          <w:bCs/>
          <w:color w:val="000000"/>
          <w:lang w:eastAsia="da-DK"/>
        </w:rPr>
        <w:t xml:space="preserve"> forord</w:t>
      </w:r>
      <w:r w:rsidR="00A54F96" w:rsidRPr="00577043">
        <w:rPr>
          <w:rFonts w:eastAsia="Times New Roman" w:cs="Times New Roman"/>
          <w:bCs/>
          <w:color w:val="000000"/>
          <w:lang w:eastAsia="da-DK"/>
        </w:rPr>
        <w:t>n</w:t>
      </w:r>
      <w:r w:rsidR="005A662A" w:rsidRPr="00577043">
        <w:rPr>
          <w:rFonts w:eastAsia="Times New Roman" w:cs="Times New Roman"/>
          <w:bCs/>
          <w:color w:val="000000"/>
          <w:lang w:eastAsia="da-DK"/>
        </w:rPr>
        <w:t>ingen</w:t>
      </w:r>
      <w:r w:rsidR="00275170">
        <w:rPr>
          <w:rFonts w:eastAsia="Times New Roman" w:cs="Times New Roman"/>
          <w:bCs/>
          <w:color w:val="000000"/>
          <w:lang w:eastAsia="da-DK"/>
        </w:rPr>
        <w:t>, som det fremgår af forordningens betragtning nr. 1</w:t>
      </w:r>
      <w:r w:rsidR="004D0510" w:rsidRPr="00577043">
        <w:rPr>
          <w:rFonts w:eastAsia="Times New Roman" w:cs="Times New Roman"/>
          <w:bCs/>
          <w:color w:val="000000"/>
          <w:lang w:eastAsia="da-DK"/>
        </w:rPr>
        <w:t xml:space="preserve">. </w:t>
      </w:r>
    </w:p>
    <w:p w14:paraId="4763BD0D" w14:textId="77777777" w:rsidR="00F80F3E" w:rsidRDefault="00F80F3E" w:rsidP="00E35D75">
      <w:pPr>
        <w:rPr>
          <w:rFonts w:eastAsia="Times New Roman" w:cs="Times New Roman"/>
          <w:bCs/>
          <w:color w:val="000000"/>
          <w:lang w:eastAsia="da-DK"/>
        </w:rPr>
      </w:pPr>
    </w:p>
    <w:p w14:paraId="58588140" w14:textId="77777777" w:rsidR="006B6DA4" w:rsidRPr="00577043" w:rsidRDefault="00721AA8" w:rsidP="006B6DA4">
      <w:pPr>
        <w:rPr>
          <w:rFonts w:eastAsia="Times New Roman" w:cs="Times New Roman"/>
          <w:bCs/>
          <w:color w:val="000000"/>
          <w:lang w:eastAsia="da-DK"/>
        </w:rPr>
      </w:pPr>
      <w:r>
        <w:rPr>
          <w:rFonts w:eastAsia="Times New Roman" w:cs="Times New Roman"/>
          <w:bCs/>
          <w:color w:val="000000"/>
          <w:lang w:eastAsia="da-DK"/>
        </w:rPr>
        <w:t>I f</w:t>
      </w:r>
      <w:r w:rsidR="006B6DA4" w:rsidRPr="00577043">
        <w:rPr>
          <w:rFonts w:eastAsia="Times New Roman" w:cs="Times New Roman"/>
          <w:bCs/>
          <w:color w:val="000000"/>
          <w:lang w:eastAsia="da-DK"/>
        </w:rPr>
        <w:t xml:space="preserve">orordningen </w:t>
      </w:r>
      <w:r>
        <w:rPr>
          <w:rFonts w:eastAsia="Times New Roman" w:cs="Times New Roman"/>
          <w:bCs/>
          <w:color w:val="000000"/>
          <w:lang w:eastAsia="da-DK"/>
        </w:rPr>
        <w:t>er der</w:t>
      </w:r>
      <w:r w:rsidR="006B6DA4" w:rsidRPr="00577043">
        <w:rPr>
          <w:rFonts w:eastAsia="Times New Roman" w:cs="Times New Roman"/>
          <w:bCs/>
          <w:color w:val="000000"/>
          <w:lang w:eastAsia="da-DK"/>
        </w:rPr>
        <w:t xml:space="preserve"> </w:t>
      </w:r>
      <w:r w:rsidR="00CD5A44">
        <w:rPr>
          <w:rFonts w:eastAsia="Times New Roman" w:cs="Times New Roman"/>
          <w:bCs/>
          <w:color w:val="000000"/>
          <w:lang w:eastAsia="da-DK"/>
        </w:rPr>
        <w:t xml:space="preserve">bl.a. </w:t>
      </w:r>
      <w:r>
        <w:rPr>
          <w:rFonts w:eastAsia="Times New Roman" w:cs="Times New Roman"/>
          <w:bCs/>
          <w:color w:val="000000"/>
          <w:lang w:eastAsia="da-DK"/>
        </w:rPr>
        <w:t xml:space="preserve">fastsat </w:t>
      </w:r>
      <w:r w:rsidR="00A74245">
        <w:rPr>
          <w:rFonts w:eastAsia="Times New Roman" w:cs="Times New Roman"/>
          <w:bCs/>
          <w:color w:val="000000"/>
          <w:lang w:eastAsia="da-DK"/>
        </w:rPr>
        <w:t xml:space="preserve">regler for myndighedernes vurdering og godkendelse af </w:t>
      </w:r>
      <w:r w:rsidR="006B6DA4" w:rsidRPr="00577043">
        <w:rPr>
          <w:rFonts w:eastAsia="Times New Roman" w:cs="Times New Roman"/>
          <w:bCs/>
          <w:color w:val="000000"/>
          <w:lang w:eastAsia="da-DK"/>
        </w:rPr>
        <w:t>ansøgninger</w:t>
      </w:r>
      <w:r w:rsidR="00A74245">
        <w:rPr>
          <w:rFonts w:eastAsia="Times New Roman" w:cs="Times New Roman"/>
          <w:bCs/>
          <w:color w:val="000000"/>
          <w:lang w:eastAsia="da-DK"/>
        </w:rPr>
        <w:t xml:space="preserve"> om kliniske forsøg, og der er fastsat krav til myndighedernes ko</w:t>
      </w:r>
      <w:r w:rsidR="006B6DA4">
        <w:rPr>
          <w:rFonts w:eastAsia="Times New Roman" w:cs="Times New Roman"/>
          <w:bCs/>
          <w:color w:val="000000"/>
          <w:lang w:eastAsia="da-DK"/>
        </w:rPr>
        <w:t>ntrol med</w:t>
      </w:r>
      <w:r w:rsidR="006B6DA4" w:rsidRPr="00577043">
        <w:rPr>
          <w:rFonts w:eastAsia="Times New Roman" w:cs="Times New Roman"/>
          <w:bCs/>
          <w:color w:val="000000"/>
          <w:lang w:eastAsia="da-DK"/>
        </w:rPr>
        <w:t xml:space="preserve"> </w:t>
      </w:r>
      <w:r w:rsidR="00D61663">
        <w:rPr>
          <w:rFonts w:eastAsia="Times New Roman" w:cs="Times New Roman"/>
          <w:bCs/>
          <w:color w:val="000000"/>
          <w:lang w:eastAsia="da-DK"/>
        </w:rPr>
        <w:t xml:space="preserve">de </w:t>
      </w:r>
      <w:r w:rsidR="006B6DA4" w:rsidRPr="00577043">
        <w:rPr>
          <w:rFonts w:eastAsia="Times New Roman" w:cs="Times New Roman"/>
          <w:bCs/>
          <w:color w:val="000000"/>
          <w:lang w:eastAsia="da-DK"/>
        </w:rPr>
        <w:t xml:space="preserve">godkendte forsøg. </w:t>
      </w:r>
      <w:r w:rsidR="00507690">
        <w:rPr>
          <w:rFonts w:eastAsia="Times New Roman" w:cs="Times New Roman"/>
          <w:bCs/>
          <w:color w:val="000000"/>
          <w:lang w:eastAsia="da-DK"/>
        </w:rPr>
        <w:t xml:space="preserve">Et </w:t>
      </w:r>
      <w:r w:rsidR="00310667">
        <w:rPr>
          <w:rFonts w:eastAsia="Times New Roman" w:cs="Times New Roman"/>
          <w:bCs/>
          <w:color w:val="000000"/>
          <w:lang w:eastAsia="da-DK"/>
        </w:rPr>
        <w:t>vigtigt</w:t>
      </w:r>
      <w:r w:rsidR="00507690">
        <w:rPr>
          <w:rFonts w:eastAsia="Times New Roman" w:cs="Times New Roman"/>
          <w:bCs/>
          <w:color w:val="000000"/>
          <w:lang w:eastAsia="da-DK"/>
        </w:rPr>
        <w:t xml:space="preserve"> element i forordningen er desuden</w:t>
      </w:r>
      <w:r w:rsidR="00CD5A44">
        <w:rPr>
          <w:rFonts w:eastAsia="Times New Roman" w:cs="Times New Roman"/>
          <w:bCs/>
          <w:color w:val="000000"/>
          <w:lang w:eastAsia="da-DK"/>
        </w:rPr>
        <w:t xml:space="preserve"> </w:t>
      </w:r>
      <w:r w:rsidR="00310667">
        <w:rPr>
          <w:rFonts w:eastAsia="Times New Roman" w:cs="Times New Roman"/>
          <w:bCs/>
          <w:color w:val="000000"/>
          <w:lang w:eastAsia="da-DK"/>
        </w:rPr>
        <w:t>regler</w:t>
      </w:r>
      <w:r w:rsidR="006B6DA4" w:rsidRPr="00577043">
        <w:rPr>
          <w:rFonts w:eastAsia="Times New Roman" w:cs="Times New Roman"/>
          <w:bCs/>
          <w:color w:val="000000"/>
          <w:lang w:eastAsia="da-DK"/>
        </w:rPr>
        <w:t xml:space="preserve"> </w:t>
      </w:r>
      <w:r w:rsidR="008647A7">
        <w:rPr>
          <w:rFonts w:eastAsia="Times New Roman" w:cs="Times New Roman"/>
          <w:bCs/>
          <w:color w:val="000000"/>
          <w:lang w:eastAsia="da-DK"/>
        </w:rPr>
        <w:t>om</w:t>
      </w:r>
      <w:r w:rsidR="006B6DA4" w:rsidRPr="00577043">
        <w:rPr>
          <w:rFonts w:eastAsia="Times New Roman" w:cs="Times New Roman"/>
          <w:bCs/>
          <w:color w:val="000000"/>
          <w:lang w:eastAsia="da-DK"/>
        </w:rPr>
        <w:t xml:space="preserve"> information og samtykke</w:t>
      </w:r>
      <w:r w:rsidR="004A36ED">
        <w:rPr>
          <w:rFonts w:eastAsia="Times New Roman" w:cs="Times New Roman"/>
          <w:bCs/>
          <w:color w:val="000000"/>
          <w:lang w:eastAsia="da-DK"/>
        </w:rPr>
        <w:t xml:space="preserve">, som skal sikre </w:t>
      </w:r>
      <w:r w:rsidR="006B6DA4" w:rsidRPr="00577043">
        <w:rPr>
          <w:rFonts w:eastAsia="Times New Roman" w:cs="Times New Roman"/>
          <w:bCs/>
          <w:color w:val="000000"/>
          <w:lang w:eastAsia="da-DK"/>
        </w:rPr>
        <w:t>beskyttelse af forsøgspersoner</w:t>
      </w:r>
      <w:r w:rsidR="004A36ED">
        <w:rPr>
          <w:rFonts w:eastAsia="Times New Roman" w:cs="Times New Roman"/>
          <w:bCs/>
          <w:color w:val="000000"/>
          <w:lang w:eastAsia="da-DK"/>
        </w:rPr>
        <w:t>ne</w:t>
      </w:r>
      <w:r w:rsidR="006B6DA4" w:rsidRPr="00577043">
        <w:rPr>
          <w:rFonts w:eastAsia="Times New Roman" w:cs="Times New Roman"/>
          <w:bCs/>
          <w:color w:val="000000"/>
          <w:lang w:eastAsia="da-DK"/>
        </w:rPr>
        <w:t>.</w:t>
      </w:r>
      <w:r w:rsidR="00BF6D32">
        <w:rPr>
          <w:rFonts w:eastAsia="Times New Roman" w:cs="Times New Roman"/>
          <w:bCs/>
          <w:color w:val="000000"/>
          <w:lang w:eastAsia="da-DK"/>
        </w:rPr>
        <w:t xml:space="preserve"> </w:t>
      </w:r>
      <w:r w:rsidR="004A36ED">
        <w:rPr>
          <w:rFonts w:eastAsia="Times New Roman" w:cs="Times New Roman"/>
          <w:bCs/>
          <w:color w:val="000000"/>
          <w:lang w:eastAsia="da-DK"/>
        </w:rPr>
        <w:t>E</w:t>
      </w:r>
      <w:r w:rsidR="00BF6D32">
        <w:rPr>
          <w:rFonts w:eastAsia="Times New Roman" w:cs="Times New Roman"/>
          <w:bCs/>
          <w:color w:val="000000"/>
          <w:lang w:eastAsia="da-DK"/>
        </w:rPr>
        <w:t xml:space="preserve">ndvidere </w:t>
      </w:r>
      <w:r w:rsidR="004A36ED">
        <w:rPr>
          <w:rFonts w:eastAsia="Times New Roman" w:cs="Times New Roman"/>
          <w:bCs/>
          <w:color w:val="000000"/>
          <w:lang w:eastAsia="da-DK"/>
        </w:rPr>
        <w:t xml:space="preserve">indeholder forordningen </w:t>
      </w:r>
      <w:r w:rsidR="00BF6D32">
        <w:rPr>
          <w:rFonts w:eastAsia="Times New Roman" w:cs="Times New Roman"/>
          <w:bCs/>
          <w:color w:val="000000"/>
          <w:lang w:eastAsia="da-DK"/>
        </w:rPr>
        <w:t xml:space="preserve">bestemmelser </w:t>
      </w:r>
      <w:r w:rsidR="008647A7">
        <w:rPr>
          <w:rFonts w:eastAsia="Times New Roman" w:cs="Times New Roman"/>
          <w:bCs/>
          <w:color w:val="000000"/>
          <w:lang w:eastAsia="da-DK"/>
        </w:rPr>
        <w:t>om</w:t>
      </w:r>
      <w:r w:rsidR="00BF6D32">
        <w:rPr>
          <w:rFonts w:eastAsia="Times New Roman" w:cs="Times New Roman"/>
          <w:bCs/>
          <w:color w:val="000000"/>
          <w:lang w:eastAsia="da-DK"/>
        </w:rPr>
        <w:t xml:space="preserve"> adgang til oplysninger om kliniske forsøg.</w:t>
      </w:r>
    </w:p>
    <w:p w14:paraId="566352CF" w14:textId="77777777" w:rsidR="006B6DA4" w:rsidRDefault="006B6DA4" w:rsidP="00E35D75">
      <w:pPr>
        <w:rPr>
          <w:rFonts w:eastAsia="Times New Roman" w:cs="Times New Roman"/>
          <w:bCs/>
          <w:color w:val="000000"/>
          <w:lang w:eastAsia="da-DK"/>
        </w:rPr>
      </w:pPr>
    </w:p>
    <w:p w14:paraId="3B6CB1E1" w14:textId="77777777" w:rsidR="00A60967" w:rsidRPr="00577043" w:rsidRDefault="00721AA8" w:rsidP="00E35D75">
      <w:pPr>
        <w:rPr>
          <w:rFonts w:eastAsia="Times New Roman" w:cs="Times New Roman"/>
          <w:bCs/>
          <w:color w:val="000000"/>
          <w:lang w:eastAsia="da-DK"/>
        </w:rPr>
      </w:pPr>
      <w:r>
        <w:rPr>
          <w:rFonts w:eastAsia="Times New Roman" w:cs="Times New Roman"/>
          <w:bCs/>
          <w:color w:val="000000"/>
          <w:lang w:eastAsia="da-DK"/>
        </w:rPr>
        <w:t>F</w:t>
      </w:r>
      <w:r w:rsidR="004D0510" w:rsidRPr="00577043">
        <w:rPr>
          <w:rFonts w:eastAsia="Times New Roman" w:cs="Times New Roman"/>
          <w:bCs/>
          <w:color w:val="000000"/>
          <w:lang w:eastAsia="da-DK"/>
        </w:rPr>
        <w:t>orordningen erstatte</w:t>
      </w:r>
      <w:r>
        <w:rPr>
          <w:rFonts w:eastAsia="Times New Roman" w:cs="Times New Roman"/>
          <w:bCs/>
          <w:color w:val="000000"/>
          <w:lang w:eastAsia="da-DK"/>
        </w:rPr>
        <w:t>r</w:t>
      </w:r>
      <w:r w:rsidR="004D0510" w:rsidRPr="00577043">
        <w:rPr>
          <w:rFonts w:eastAsia="Times New Roman" w:cs="Times New Roman"/>
          <w:bCs/>
          <w:color w:val="000000"/>
          <w:lang w:eastAsia="da-DK"/>
        </w:rPr>
        <w:t xml:space="preserve"> direktivet om god klinisk praksis ved gennemførelse af kliniske forsøg med lægemidler til human brug (GCP-direktivet).</w:t>
      </w:r>
      <w:r w:rsidR="00201600" w:rsidRPr="00577043">
        <w:rPr>
          <w:rFonts w:eastAsia="Times New Roman" w:cs="Times New Roman"/>
          <w:bCs/>
          <w:color w:val="000000"/>
          <w:lang w:eastAsia="da-DK"/>
        </w:rPr>
        <w:t xml:space="preserve"> </w:t>
      </w:r>
      <w:r w:rsidR="007F3781" w:rsidRPr="00577043">
        <w:rPr>
          <w:rFonts w:eastAsia="Times New Roman" w:cs="Times New Roman"/>
          <w:bCs/>
          <w:color w:val="000000"/>
          <w:lang w:eastAsia="da-DK"/>
        </w:rPr>
        <w:t>GCP-</w:t>
      </w:r>
      <w:r w:rsidR="00897FF6" w:rsidRPr="00577043">
        <w:rPr>
          <w:rFonts w:eastAsia="Times New Roman" w:cs="Times New Roman"/>
          <w:bCs/>
          <w:color w:val="000000"/>
          <w:lang w:eastAsia="da-DK"/>
        </w:rPr>
        <w:t>direktivet har til formål at forenkle og harmonisere de administrative bestemmelser vedrørende kliniske forsøg i EU. Erfaringen viser dog, at en harmoniseret tilgang kun er blevet delvist gennemfø</w:t>
      </w:r>
      <w:r w:rsidR="001F42A0" w:rsidRPr="00577043">
        <w:rPr>
          <w:rFonts w:eastAsia="Times New Roman" w:cs="Times New Roman"/>
          <w:bCs/>
          <w:color w:val="000000"/>
          <w:lang w:eastAsia="da-DK"/>
        </w:rPr>
        <w:t xml:space="preserve">rt, og at dette gør det </w:t>
      </w:r>
      <w:r w:rsidR="00897FF6" w:rsidRPr="00577043">
        <w:rPr>
          <w:rFonts w:eastAsia="Times New Roman" w:cs="Times New Roman"/>
          <w:bCs/>
          <w:color w:val="000000"/>
          <w:lang w:eastAsia="da-DK"/>
        </w:rPr>
        <w:t>vanskeligt at gennemføre et givent klinisk forsøg i flere medlemsstater.</w:t>
      </w:r>
      <w:r w:rsidR="00CB2F25" w:rsidRPr="00577043">
        <w:rPr>
          <w:rFonts w:eastAsia="Times New Roman" w:cs="Times New Roman"/>
          <w:bCs/>
          <w:color w:val="000000"/>
          <w:lang w:eastAsia="da-DK"/>
        </w:rPr>
        <w:t xml:space="preserve"> </w:t>
      </w:r>
      <w:r w:rsidR="00DD6B77" w:rsidRPr="00577043">
        <w:rPr>
          <w:rFonts w:eastAsia="Times New Roman" w:cs="Times New Roman"/>
          <w:bCs/>
          <w:color w:val="000000"/>
          <w:lang w:eastAsia="da-DK"/>
        </w:rPr>
        <w:t>Forordningen skal</w:t>
      </w:r>
      <w:r w:rsidR="00A60967" w:rsidRPr="00577043">
        <w:rPr>
          <w:rFonts w:eastAsia="Times New Roman" w:cs="Times New Roman"/>
          <w:bCs/>
          <w:color w:val="000000"/>
          <w:lang w:eastAsia="da-DK"/>
        </w:rPr>
        <w:t xml:space="preserve"> </w:t>
      </w:r>
      <w:r w:rsidR="002C64C7" w:rsidRPr="00577043">
        <w:rPr>
          <w:rFonts w:eastAsia="Times New Roman" w:cs="Times New Roman"/>
          <w:bCs/>
          <w:color w:val="000000"/>
          <w:lang w:eastAsia="da-DK"/>
        </w:rPr>
        <w:t>således</w:t>
      </w:r>
      <w:r w:rsidR="00D776F8" w:rsidRPr="00577043">
        <w:rPr>
          <w:rFonts w:eastAsia="Times New Roman" w:cs="Times New Roman"/>
          <w:bCs/>
          <w:color w:val="000000"/>
          <w:lang w:eastAsia="da-DK"/>
        </w:rPr>
        <w:t xml:space="preserve"> skabe grundlag for </w:t>
      </w:r>
      <w:r w:rsidR="00A60967" w:rsidRPr="00577043">
        <w:rPr>
          <w:rFonts w:eastAsia="Times New Roman" w:cs="Times New Roman"/>
          <w:bCs/>
          <w:color w:val="000000"/>
          <w:lang w:eastAsia="da-DK"/>
        </w:rPr>
        <w:t xml:space="preserve">en </w:t>
      </w:r>
      <w:r w:rsidR="00DD6B77" w:rsidRPr="00577043">
        <w:rPr>
          <w:rFonts w:eastAsia="Times New Roman" w:cs="Times New Roman"/>
          <w:bCs/>
          <w:color w:val="000000"/>
          <w:lang w:eastAsia="da-DK"/>
        </w:rPr>
        <w:t xml:space="preserve">mere </w:t>
      </w:r>
      <w:r w:rsidR="00A60967" w:rsidRPr="00577043">
        <w:rPr>
          <w:rFonts w:eastAsia="Times New Roman" w:cs="Times New Roman"/>
          <w:bCs/>
          <w:color w:val="000000"/>
          <w:lang w:eastAsia="da-DK"/>
        </w:rPr>
        <w:t>harmoniseret regulering</w:t>
      </w:r>
      <w:r w:rsidR="00DD6B77" w:rsidRPr="00577043">
        <w:rPr>
          <w:rFonts w:eastAsia="Times New Roman" w:cs="Times New Roman"/>
          <w:bCs/>
          <w:color w:val="000000"/>
          <w:lang w:eastAsia="da-DK"/>
        </w:rPr>
        <w:t xml:space="preserve"> af kliniske forsøg i EU. </w:t>
      </w:r>
    </w:p>
    <w:p w14:paraId="53F0E70B" w14:textId="77777777" w:rsidR="00A60967" w:rsidRDefault="00A60967" w:rsidP="00E35D75">
      <w:pPr>
        <w:rPr>
          <w:rFonts w:eastAsia="Times New Roman" w:cs="Times New Roman"/>
          <w:bCs/>
          <w:color w:val="000000"/>
          <w:lang w:eastAsia="da-DK"/>
        </w:rPr>
      </w:pPr>
    </w:p>
    <w:p w14:paraId="5BDC76D3" w14:textId="77777777" w:rsidR="00492C41" w:rsidRPr="00577043" w:rsidRDefault="00492C41" w:rsidP="00492C41">
      <w:pPr>
        <w:rPr>
          <w:rFonts w:eastAsia="Times New Roman" w:cs="Times New Roman"/>
          <w:bCs/>
          <w:color w:val="000000"/>
          <w:lang w:eastAsia="da-DK"/>
        </w:rPr>
      </w:pPr>
      <w:r w:rsidRPr="00577043">
        <w:rPr>
          <w:rFonts w:eastAsia="Times New Roman" w:cs="Times New Roman"/>
          <w:bCs/>
          <w:color w:val="000000"/>
          <w:lang w:eastAsia="da-DK"/>
        </w:rPr>
        <w:t>Forordningen sk</w:t>
      </w:r>
      <w:r w:rsidR="00530E03">
        <w:rPr>
          <w:rFonts w:eastAsia="Times New Roman" w:cs="Times New Roman"/>
          <w:bCs/>
          <w:color w:val="000000"/>
          <w:lang w:eastAsia="da-DK"/>
        </w:rPr>
        <w:t>ulle</w:t>
      </w:r>
      <w:r w:rsidRPr="00577043">
        <w:rPr>
          <w:rFonts w:eastAsia="Times New Roman" w:cs="Times New Roman"/>
          <w:bCs/>
          <w:color w:val="000000"/>
          <w:lang w:eastAsia="da-DK"/>
        </w:rPr>
        <w:t xml:space="preserve"> efter planen finde anvendelse fra den 28. maj 2016 forudsat, at EU-portalen og EU-databasen, som skal anvendes i forbindelse med anmeldelser af forsøg, har opnået fuld funktionsdygtighed. </w:t>
      </w:r>
      <w:r w:rsidR="00530E03">
        <w:rPr>
          <w:rFonts w:eastAsia="Times New Roman" w:cs="Times New Roman"/>
          <w:bCs/>
          <w:color w:val="000000"/>
          <w:lang w:eastAsia="da-DK"/>
        </w:rPr>
        <w:t>EU-Kommissionen har dog oplyst, at IT-systemerne ikke forventes klar før ultimo 2017, hvorfor dette pt. forventes som ikrafttrædelsestidspunkt.</w:t>
      </w:r>
    </w:p>
    <w:p w14:paraId="33C750B9" w14:textId="77777777" w:rsidR="00492C41" w:rsidRPr="00577043" w:rsidRDefault="00492C41" w:rsidP="00E35D75">
      <w:pPr>
        <w:rPr>
          <w:rFonts w:eastAsia="Times New Roman" w:cs="Times New Roman"/>
          <w:bCs/>
          <w:color w:val="000000"/>
          <w:lang w:eastAsia="da-DK"/>
        </w:rPr>
      </w:pPr>
    </w:p>
    <w:p w14:paraId="00709B68" w14:textId="77777777" w:rsidR="00492C41" w:rsidRPr="00492C41" w:rsidRDefault="00492C41" w:rsidP="00214725">
      <w:pPr>
        <w:pStyle w:val="Overskrift5"/>
        <w:rPr>
          <w:rFonts w:eastAsia="Times New Roman"/>
          <w:lang w:eastAsia="da-DK"/>
        </w:rPr>
      </w:pPr>
      <w:r>
        <w:rPr>
          <w:rFonts w:eastAsia="Times New Roman"/>
          <w:lang w:eastAsia="da-DK"/>
        </w:rPr>
        <w:t>1.3. Forordningens regulering af ansøgningsproceduren</w:t>
      </w:r>
    </w:p>
    <w:p w14:paraId="7B06A238" w14:textId="77777777" w:rsidR="00AA4C6E" w:rsidRDefault="006C3851" w:rsidP="008F44F5">
      <w:pPr>
        <w:rPr>
          <w:rFonts w:eastAsia="Times New Roman" w:cs="Times New Roman"/>
          <w:bCs/>
          <w:color w:val="000000"/>
          <w:lang w:eastAsia="da-DK"/>
        </w:rPr>
      </w:pPr>
      <w:r>
        <w:rPr>
          <w:rFonts w:eastAsia="Times New Roman" w:cs="Times New Roman"/>
          <w:bCs/>
          <w:color w:val="000000"/>
          <w:lang w:eastAsia="da-DK"/>
        </w:rPr>
        <w:t>G</w:t>
      </w:r>
      <w:r w:rsidR="00AA4C6E">
        <w:rPr>
          <w:rFonts w:eastAsia="Times New Roman" w:cs="Times New Roman"/>
          <w:bCs/>
          <w:color w:val="000000"/>
          <w:lang w:eastAsia="da-DK"/>
        </w:rPr>
        <w:t>ennemførelse af et klinisk forsøg</w:t>
      </w:r>
      <w:r>
        <w:rPr>
          <w:rFonts w:eastAsia="Times New Roman" w:cs="Times New Roman"/>
          <w:bCs/>
          <w:color w:val="000000"/>
          <w:lang w:eastAsia="da-DK"/>
        </w:rPr>
        <w:t xml:space="preserve"> forudsætter godkendelse</w:t>
      </w:r>
      <w:r w:rsidR="00AA4C6E">
        <w:rPr>
          <w:rFonts w:eastAsia="Times New Roman" w:cs="Times New Roman"/>
          <w:bCs/>
          <w:color w:val="000000"/>
          <w:lang w:eastAsia="da-DK"/>
        </w:rPr>
        <w:t xml:space="preserve"> i overensstemmelse med forordningens bestemmelser, og en ansøgning</w:t>
      </w:r>
      <w:r>
        <w:rPr>
          <w:rFonts w:eastAsia="Times New Roman" w:cs="Times New Roman"/>
          <w:bCs/>
          <w:color w:val="000000"/>
          <w:lang w:eastAsia="da-DK"/>
        </w:rPr>
        <w:t xml:space="preserve"> om gennemførelse af et forsøg</w:t>
      </w:r>
      <w:r w:rsidR="00AA4C6E">
        <w:rPr>
          <w:rFonts w:eastAsia="Times New Roman" w:cs="Times New Roman"/>
          <w:bCs/>
          <w:color w:val="000000"/>
          <w:lang w:eastAsia="da-DK"/>
        </w:rPr>
        <w:t xml:space="preserve"> skal indsendes af personen, firmaet, institutionen eller organisationen, som påtager sig ansvaret for igangsætning, ledelsen og for organisering af finansieringen af det kliniske forsøg (sponsor).</w:t>
      </w:r>
    </w:p>
    <w:p w14:paraId="488A3C73" w14:textId="77777777" w:rsidR="00AA4C6E" w:rsidRDefault="00AA4C6E" w:rsidP="008F44F5">
      <w:pPr>
        <w:rPr>
          <w:rFonts w:eastAsia="Times New Roman" w:cs="Times New Roman"/>
          <w:bCs/>
          <w:color w:val="000000"/>
          <w:lang w:eastAsia="da-DK"/>
        </w:rPr>
      </w:pPr>
    </w:p>
    <w:p w14:paraId="7A3DE1C3" w14:textId="77777777" w:rsidR="008F44F5" w:rsidRDefault="007F3781" w:rsidP="008F44F5">
      <w:pPr>
        <w:rPr>
          <w:rFonts w:eastAsia="Times New Roman" w:cs="Times New Roman"/>
          <w:bCs/>
          <w:color w:val="000000"/>
          <w:lang w:eastAsia="da-DK"/>
        </w:rPr>
      </w:pPr>
      <w:r w:rsidRPr="00577043">
        <w:rPr>
          <w:rFonts w:eastAsia="Times New Roman" w:cs="Times New Roman"/>
          <w:bCs/>
          <w:color w:val="000000"/>
          <w:lang w:eastAsia="da-DK"/>
        </w:rPr>
        <w:t xml:space="preserve">For at forenkle </w:t>
      </w:r>
      <w:r w:rsidR="00D0354C" w:rsidRPr="00577043">
        <w:rPr>
          <w:rFonts w:eastAsia="Times New Roman" w:cs="Times New Roman"/>
          <w:bCs/>
          <w:color w:val="000000"/>
          <w:lang w:eastAsia="da-DK"/>
        </w:rPr>
        <w:t xml:space="preserve">og effektivisere </w:t>
      </w:r>
      <w:r w:rsidRPr="00577043">
        <w:rPr>
          <w:rFonts w:eastAsia="Times New Roman" w:cs="Times New Roman"/>
          <w:bCs/>
          <w:color w:val="000000"/>
          <w:lang w:eastAsia="da-DK"/>
        </w:rPr>
        <w:t>procedurerne for kliniske forsøge indføre</w:t>
      </w:r>
      <w:r w:rsidR="00DD6B77" w:rsidRPr="00577043">
        <w:rPr>
          <w:rFonts w:eastAsia="Times New Roman" w:cs="Times New Roman"/>
          <w:bCs/>
          <w:color w:val="000000"/>
          <w:lang w:eastAsia="da-DK"/>
        </w:rPr>
        <w:t>s</w:t>
      </w:r>
      <w:r w:rsidRPr="00577043">
        <w:rPr>
          <w:rFonts w:eastAsia="Times New Roman" w:cs="Times New Roman"/>
          <w:bCs/>
          <w:color w:val="000000"/>
          <w:lang w:eastAsia="da-DK"/>
        </w:rPr>
        <w:t xml:space="preserve"> med forordningen</w:t>
      </w:r>
      <w:r w:rsidR="008C6A4A" w:rsidRPr="00577043">
        <w:rPr>
          <w:rFonts w:eastAsia="Times New Roman" w:cs="Times New Roman"/>
          <w:bCs/>
          <w:color w:val="000000"/>
          <w:lang w:eastAsia="da-DK"/>
        </w:rPr>
        <w:t xml:space="preserve"> bl.a.</w:t>
      </w:r>
      <w:r w:rsidRPr="00577043">
        <w:rPr>
          <w:rFonts w:eastAsia="Times New Roman" w:cs="Times New Roman"/>
          <w:bCs/>
          <w:color w:val="000000"/>
          <w:lang w:eastAsia="da-DK"/>
        </w:rPr>
        <w:t xml:space="preserve">, at </w:t>
      </w:r>
      <w:r w:rsidR="00AA4C6E">
        <w:rPr>
          <w:rFonts w:eastAsia="Times New Roman" w:cs="Times New Roman"/>
          <w:bCs/>
          <w:color w:val="000000"/>
          <w:lang w:eastAsia="da-DK"/>
        </w:rPr>
        <w:t xml:space="preserve">sponsor </w:t>
      </w:r>
      <w:r w:rsidRPr="00577043">
        <w:rPr>
          <w:rFonts w:eastAsia="Times New Roman" w:cs="Times New Roman"/>
          <w:bCs/>
          <w:color w:val="000000"/>
          <w:lang w:eastAsia="da-DK"/>
        </w:rPr>
        <w:t xml:space="preserve">kun skal indgives ét ansøgningsdossier, som indgives </w:t>
      </w:r>
      <w:r w:rsidR="008F44F5">
        <w:rPr>
          <w:rFonts w:eastAsia="Times New Roman" w:cs="Times New Roman"/>
          <w:bCs/>
          <w:color w:val="000000"/>
          <w:lang w:eastAsia="da-DK"/>
        </w:rPr>
        <w:t xml:space="preserve">til en database </w:t>
      </w:r>
      <w:r w:rsidRPr="00577043">
        <w:rPr>
          <w:rFonts w:eastAsia="Times New Roman" w:cs="Times New Roman"/>
          <w:bCs/>
          <w:color w:val="000000"/>
          <w:lang w:eastAsia="da-DK"/>
        </w:rPr>
        <w:t>via en fælles EU-porta</w:t>
      </w:r>
      <w:r w:rsidR="008F44F5">
        <w:rPr>
          <w:rFonts w:eastAsia="Times New Roman" w:cs="Times New Roman"/>
          <w:bCs/>
          <w:color w:val="000000"/>
          <w:lang w:eastAsia="da-DK"/>
        </w:rPr>
        <w:t xml:space="preserve">l. </w:t>
      </w:r>
    </w:p>
    <w:p w14:paraId="330AFBD0" w14:textId="77777777" w:rsidR="00A17D3B" w:rsidRDefault="00D0354C" w:rsidP="008F44F5">
      <w:pPr>
        <w:rPr>
          <w:rFonts w:eastAsia="Times New Roman" w:cs="Times New Roman"/>
          <w:bCs/>
          <w:color w:val="000000"/>
          <w:lang w:eastAsia="da-DK"/>
        </w:rPr>
      </w:pPr>
      <w:r w:rsidRPr="00577043">
        <w:rPr>
          <w:rFonts w:eastAsia="Times New Roman" w:cs="Times New Roman"/>
          <w:bCs/>
          <w:color w:val="000000"/>
          <w:lang w:eastAsia="da-DK"/>
        </w:rPr>
        <w:t xml:space="preserve">Som led i </w:t>
      </w:r>
      <w:r w:rsidR="008F44F5">
        <w:rPr>
          <w:rFonts w:eastAsia="Times New Roman" w:cs="Times New Roman"/>
          <w:bCs/>
          <w:color w:val="000000"/>
          <w:lang w:eastAsia="da-DK"/>
        </w:rPr>
        <w:t>ef</w:t>
      </w:r>
      <w:r w:rsidRPr="00577043">
        <w:rPr>
          <w:rFonts w:eastAsia="Times New Roman" w:cs="Times New Roman"/>
          <w:bCs/>
          <w:color w:val="000000"/>
          <w:lang w:eastAsia="da-DK"/>
        </w:rPr>
        <w:t xml:space="preserve">fektiviseringen skal </w:t>
      </w:r>
      <w:r w:rsidR="00A60967" w:rsidRPr="00577043">
        <w:rPr>
          <w:rFonts w:eastAsia="Times New Roman" w:cs="Times New Roman"/>
          <w:bCs/>
          <w:color w:val="000000"/>
          <w:lang w:eastAsia="da-DK"/>
        </w:rPr>
        <w:t>medlemsstater</w:t>
      </w:r>
      <w:r w:rsidR="008F44F5">
        <w:rPr>
          <w:rFonts w:eastAsia="Times New Roman" w:cs="Times New Roman"/>
          <w:bCs/>
          <w:color w:val="000000"/>
          <w:lang w:eastAsia="da-DK"/>
        </w:rPr>
        <w:t xml:space="preserve">ne samarbejde om </w:t>
      </w:r>
      <w:r w:rsidR="00875D22">
        <w:rPr>
          <w:rFonts w:eastAsia="Times New Roman" w:cs="Times New Roman"/>
          <w:bCs/>
          <w:color w:val="000000"/>
          <w:lang w:eastAsia="da-DK"/>
        </w:rPr>
        <w:t xml:space="preserve">vurderingen </w:t>
      </w:r>
      <w:r w:rsidR="008F44F5">
        <w:rPr>
          <w:rFonts w:eastAsia="Times New Roman" w:cs="Times New Roman"/>
          <w:bCs/>
          <w:color w:val="000000"/>
          <w:lang w:eastAsia="da-DK"/>
        </w:rPr>
        <w:t>af en</w:t>
      </w:r>
      <w:r w:rsidR="007C596C">
        <w:rPr>
          <w:rFonts w:eastAsia="Times New Roman" w:cs="Times New Roman"/>
          <w:bCs/>
          <w:color w:val="000000"/>
          <w:lang w:eastAsia="da-DK"/>
        </w:rPr>
        <w:t xml:space="preserve"> ansøgning om godkendelse af </w:t>
      </w:r>
      <w:r w:rsidR="008F44F5">
        <w:rPr>
          <w:rFonts w:eastAsia="Times New Roman" w:cs="Times New Roman"/>
          <w:bCs/>
          <w:color w:val="000000"/>
          <w:lang w:eastAsia="da-DK"/>
        </w:rPr>
        <w:t xml:space="preserve">kliniske lægemiddelforsøg. </w:t>
      </w:r>
      <w:r w:rsidR="00875D22">
        <w:rPr>
          <w:rFonts w:eastAsia="Times New Roman" w:cs="Times New Roman"/>
          <w:bCs/>
          <w:color w:val="000000"/>
          <w:lang w:eastAsia="da-DK"/>
        </w:rPr>
        <w:t xml:space="preserve">Vurderingen af en ansøgning skal omfatte udarbejdelsen af en vurderingsrapport i to dele. Del I vedrører såvel sundhedsfaglige som videnskabsetiske aspekter, mens del II vedrører videnskabsetiske aspekter. </w:t>
      </w:r>
    </w:p>
    <w:p w14:paraId="476B2BB6" w14:textId="77777777" w:rsidR="00A17D3B" w:rsidRDefault="00A17D3B" w:rsidP="008F44F5">
      <w:pPr>
        <w:rPr>
          <w:rFonts w:eastAsia="Times New Roman" w:cs="Times New Roman"/>
          <w:bCs/>
          <w:color w:val="000000"/>
          <w:lang w:eastAsia="da-DK"/>
        </w:rPr>
      </w:pPr>
    </w:p>
    <w:p w14:paraId="7578B417" w14:textId="77777777" w:rsidR="008F44F5" w:rsidRPr="00577043" w:rsidRDefault="007C596C" w:rsidP="008F44F5">
      <w:pPr>
        <w:rPr>
          <w:rFonts w:eastAsia="Times New Roman" w:cs="Times New Roman"/>
          <w:bCs/>
          <w:color w:val="000000"/>
          <w:lang w:eastAsia="da-DK"/>
        </w:rPr>
      </w:pPr>
      <w:r>
        <w:rPr>
          <w:rFonts w:eastAsia="Times New Roman" w:cs="Times New Roman"/>
          <w:bCs/>
          <w:color w:val="000000"/>
          <w:lang w:eastAsia="da-DK"/>
        </w:rPr>
        <w:lastRenderedPageBreak/>
        <w:t>E</w:t>
      </w:r>
      <w:r w:rsidRPr="00577043">
        <w:rPr>
          <w:rFonts w:eastAsia="Times New Roman" w:cs="Times New Roman"/>
          <w:bCs/>
          <w:color w:val="000000"/>
          <w:lang w:eastAsia="da-DK"/>
        </w:rPr>
        <w:t xml:space="preserve">n enkelt medlemsstat </w:t>
      </w:r>
      <w:r>
        <w:rPr>
          <w:rFonts w:eastAsia="Times New Roman" w:cs="Times New Roman"/>
          <w:bCs/>
          <w:color w:val="000000"/>
          <w:lang w:eastAsia="da-DK"/>
        </w:rPr>
        <w:t>(</w:t>
      </w:r>
      <w:r w:rsidR="00507690">
        <w:rPr>
          <w:rFonts w:eastAsia="Times New Roman" w:cs="Times New Roman"/>
          <w:bCs/>
          <w:color w:val="000000"/>
          <w:lang w:eastAsia="da-DK"/>
        </w:rPr>
        <w:t>den ”</w:t>
      </w:r>
      <w:r w:rsidRPr="00577043">
        <w:rPr>
          <w:rFonts w:eastAsia="Times New Roman" w:cs="Times New Roman"/>
          <w:bCs/>
          <w:color w:val="000000"/>
          <w:lang w:eastAsia="da-DK"/>
        </w:rPr>
        <w:t>rapporterende medlemsstat</w:t>
      </w:r>
      <w:r w:rsidR="00507690">
        <w:rPr>
          <w:rFonts w:eastAsia="Times New Roman" w:cs="Times New Roman"/>
          <w:bCs/>
          <w:color w:val="000000"/>
          <w:lang w:eastAsia="da-DK"/>
        </w:rPr>
        <w:t>”</w:t>
      </w:r>
      <w:r>
        <w:rPr>
          <w:rFonts w:eastAsia="Times New Roman" w:cs="Times New Roman"/>
          <w:bCs/>
          <w:color w:val="000000"/>
          <w:lang w:eastAsia="da-DK"/>
        </w:rPr>
        <w:t xml:space="preserve">) skal </w:t>
      </w:r>
      <w:r w:rsidR="00C26F20">
        <w:rPr>
          <w:rFonts w:eastAsia="Times New Roman" w:cs="Times New Roman"/>
          <w:bCs/>
          <w:color w:val="000000"/>
          <w:lang w:eastAsia="da-DK"/>
        </w:rPr>
        <w:t>koordinere udarbejdelsen af vurderingsrapportens del I, som skal udarbejdes i samarbejde med</w:t>
      </w:r>
      <w:r>
        <w:rPr>
          <w:rFonts w:eastAsia="Times New Roman" w:cs="Times New Roman"/>
          <w:bCs/>
          <w:color w:val="000000"/>
          <w:lang w:eastAsia="da-DK"/>
        </w:rPr>
        <w:t xml:space="preserve"> de medlemsstater,</w:t>
      </w:r>
      <w:r w:rsidR="00A60967" w:rsidRPr="00577043">
        <w:rPr>
          <w:rFonts w:eastAsia="Times New Roman" w:cs="Times New Roman"/>
          <w:bCs/>
          <w:color w:val="000000"/>
          <w:lang w:eastAsia="da-DK"/>
        </w:rPr>
        <w:t xml:space="preserve"> hvor et forsøg ønskes gennemført</w:t>
      </w:r>
      <w:r w:rsidR="008F44F5">
        <w:rPr>
          <w:rFonts w:eastAsia="Times New Roman" w:cs="Times New Roman"/>
          <w:bCs/>
          <w:color w:val="000000"/>
          <w:lang w:eastAsia="da-DK"/>
        </w:rPr>
        <w:t xml:space="preserve"> (de </w:t>
      </w:r>
      <w:r w:rsidR="00CD079A">
        <w:rPr>
          <w:rFonts w:eastAsia="Times New Roman" w:cs="Times New Roman"/>
          <w:bCs/>
          <w:color w:val="000000"/>
          <w:lang w:eastAsia="da-DK"/>
        </w:rPr>
        <w:t>”</w:t>
      </w:r>
      <w:r w:rsidR="008F44F5">
        <w:rPr>
          <w:rFonts w:eastAsia="Times New Roman" w:cs="Times New Roman"/>
          <w:bCs/>
          <w:color w:val="000000"/>
          <w:lang w:eastAsia="da-DK"/>
        </w:rPr>
        <w:t>berørte medlemsstater</w:t>
      </w:r>
      <w:r w:rsidR="00CD079A">
        <w:rPr>
          <w:rFonts w:eastAsia="Times New Roman" w:cs="Times New Roman"/>
          <w:bCs/>
          <w:color w:val="000000"/>
          <w:lang w:eastAsia="da-DK"/>
        </w:rPr>
        <w:t>”</w:t>
      </w:r>
      <w:r w:rsidR="008F44F5">
        <w:rPr>
          <w:rFonts w:eastAsia="Times New Roman" w:cs="Times New Roman"/>
          <w:bCs/>
          <w:color w:val="000000"/>
          <w:lang w:eastAsia="da-DK"/>
        </w:rPr>
        <w:t>)</w:t>
      </w:r>
      <w:r>
        <w:rPr>
          <w:rFonts w:eastAsia="Times New Roman" w:cs="Times New Roman"/>
          <w:bCs/>
          <w:color w:val="000000"/>
          <w:lang w:eastAsia="da-DK"/>
        </w:rPr>
        <w:t>.</w:t>
      </w:r>
      <w:r w:rsidR="008F44F5" w:rsidRPr="00577043">
        <w:rPr>
          <w:rFonts w:eastAsia="Times New Roman" w:cs="Times New Roman"/>
          <w:bCs/>
          <w:color w:val="000000"/>
          <w:lang w:eastAsia="da-DK"/>
        </w:rPr>
        <w:t xml:space="preserve"> Det er den rapporterende medlemsstat, som </w:t>
      </w:r>
      <w:r w:rsidR="00C26F20">
        <w:rPr>
          <w:rFonts w:eastAsia="Times New Roman" w:cs="Times New Roman"/>
          <w:bCs/>
          <w:color w:val="000000"/>
          <w:lang w:eastAsia="da-DK"/>
        </w:rPr>
        <w:t xml:space="preserve">i den forbindelse </w:t>
      </w:r>
      <w:r w:rsidR="008F44F5" w:rsidRPr="00577043">
        <w:rPr>
          <w:rFonts w:eastAsia="Times New Roman" w:cs="Times New Roman"/>
          <w:bCs/>
          <w:color w:val="000000"/>
          <w:lang w:eastAsia="da-DK"/>
        </w:rPr>
        <w:t>har kontakten til sponsor af et lægemiddelforsøg. Det</w:t>
      </w:r>
      <w:r w:rsidR="00736A3D">
        <w:rPr>
          <w:rFonts w:eastAsia="Times New Roman" w:cs="Times New Roman"/>
          <w:bCs/>
          <w:color w:val="000000"/>
          <w:lang w:eastAsia="da-DK"/>
        </w:rPr>
        <w:t xml:space="preserve"> må forventes</w:t>
      </w:r>
      <w:r w:rsidR="008F44F5" w:rsidRPr="00577043">
        <w:rPr>
          <w:rFonts w:eastAsia="Times New Roman" w:cs="Times New Roman"/>
          <w:bCs/>
          <w:color w:val="000000"/>
          <w:lang w:eastAsia="da-DK"/>
        </w:rPr>
        <w:t xml:space="preserve">, at lande, som i større omfang påtager sig rollen som rapporterende medlemsstat, i højere grad vil kunne tiltrække nye lægemiddelforsøg. </w:t>
      </w:r>
    </w:p>
    <w:p w14:paraId="32A1C16E" w14:textId="77777777" w:rsidR="00D3625E" w:rsidRDefault="00D3625E" w:rsidP="00E35D75">
      <w:pPr>
        <w:rPr>
          <w:rFonts w:eastAsia="Times New Roman" w:cs="Times New Roman"/>
          <w:bCs/>
          <w:color w:val="000000"/>
          <w:lang w:eastAsia="da-DK"/>
        </w:rPr>
      </w:pPr>
    </w:p>
    <w:p w14:paraId="0286622C" w14:textId="77777777" w:rsidR="007C596C" w:rsidRDefault="00C26F20" w:rsidP="00E35D75">
      <w:pPr>
        <w:rPr>
          <w:rFonts w:eastAsia="Times New Roman" w:cs="Times New Roman"/>
          <w:bCs/>
          <w:color w:val="000000"/>
          <w:lang w:eastAsia="da-DK"/>
        </w:rPr>
      </w:pPr>
      <w:r>
        <w:rPr>
          <w:rFonts w:eastAsia="Times New Roman" w:cs="Times New Roman"/>
          <w:bCs/>
          <w:color w:val="000000"/>
          <w:lang w:eastAsia="da-DK"/>
        </w:rPr>
        <w:t xml:space="preserve">De berørte medlemsstater skal hver især udarbejde vurderingsrapportens del II </w:t>
      </w:r>
      <w:r w:rsidR="008647A7">
        <w:rPr>
          <w:rFonts w:eastAsia="Times New Roman" w:cs="Times New Roman"/>
          <w:bCs/>
          <w:color w:val="000000"/>
          <w:lang w:eastAsia="da-DK"/>
        </w:rPr>
        <w:t>om</w:t>
      </w:r>
      <w:r>
        <w:rPr>
          <w:rFonts w:eastAsia="Times New Roman" w:cs="Times New Roman"/>
          <w:bCs/>
          <w:color w:val="000000"/>
          <w:lang w:eastAsia="da-DK"/>
        </w:rPr>
        <w:t xml:space="preserve"> videnskabsetiske aspekter og træffe afgørelse med hensyn</w:t>
      </w:r>
      <w:r w:rsidR="00F539ED">
        <w:rPr>
          <w:rFonts w:eastAsia="Times New Roman" w:cs="Times New Roman"/>
          <w:bCs/>
          <w:color w:val="000000"/>
          <w:lang w:eastAsia="da-DK"/>
        </w:rPr>
        <w:t xml:space="preserve"> til</w:t>
      </w:r>
      <w:r>
        <w:rPr>
          <w:rFonts w:eastAsia="Times New Roman" w:cs="Times New Roman"/>
          <w:bCs/>
          <w:color w:val="000000"/>
          <w:lang w:eastAsia="da-DK"/>
        </w:rPr>
        <w:t>, om aspekterne af denne del er overholdt</w:t>
      </w:r>
      <w:r w:rsidR="00875D22">
        <w:rPr>
          <w:rFonts w:eastAsia="Times New Roman" w:cs="Times New Roman"/>
          <w:bCs/>
          <w:color w:val="000000"/>
          <w:lang w:eastAsia="da-DK"/>
        </w:rPr>
        <w:t xml:space="preserve">. </w:t>
      </w:r>
    </w:p>
    <w:p w14:paraId="7870D0DA" w14:textId="77777777" w:rsidR="00671A6D" w:rsidRDefault="00671A6D" w:rsidP="00E35D75">
      <w:pPr>
        <w:rPr>
          <w:rFonts w:eastAsia="Times New Roman" w:cs="Times New Roman"/>
          <w:bCs/>
          <w:color w:val="000000"/>
          <w:lang w:eastAsia="da-DK"/>
        </w:rPr>
      </w:pPr>
    </w:p>
    <w:p w14:paraId="1B09351C" w14:textId="77777777" w:rsidR="007C596C" w:rsidRPr="007C596C" w:rsidRDefault="007C596C" w:rsidP="00214725">
      <w:pPr>
        <w:pStyle w:val="Overskrift5"/>
        <w:rPr>
          <w:rFonts w:eastAsia="Times New Roman"/>
          <w:lang w:eastAsia="da-DK"/>
        </w:rPr>
      </w:pPr>
      <w:r>
        <w:rPr>
          <w:rFonts w:eastAsia="Times New Roman"/>
          <w:lang w:eastAsia="da-DK"/>
        </w:rPr>
        <w:t>1.4. Tidsfrister</w:t>
      </w:r>
    </w:p>
    <w:p w14:paraId="4B472B98" w14:textId="77777777" w:rsidR="00497E40" w:rsidRDefault="00A60967" w:rsidP="00E35D75">
      <w:pPr>
        <w:rPr>
          <w:rFonts w:eastAsia="Times New Roman" w:cs="Times New Roman"/>
          <w:bCs/>
          <w:color w:val="000000"/>
          <w:lang w:eastAsia="da-DK"/>
        </w:rPr>
      </w:pPr>
      <w:r w:rsidRPr="00577043">
        <w:rPr>
          <w:rFonts w:eastAsia="Times New Roman" w:cs="Times New Roman"/>
          <w:bCs/>
          <w:color w:val="000000"/>
          <w:lang w:eastAsia="da-DK"/>
        </w:rPr>
        <w:t>I forordningen er der fastlagt frister for vurdering af en ansøgning om kliniske forsøg</w:t>
      </w:r>
      <w:r w:rsidR="00530E03">
        <w:rPr>
          <w:rFonts w:eastAsia="Times New Roman" w:cs="Times New Roman"/>
          <w:bCs/>
          <w:color w:val="000000"/>
          <w:lang w:eastAsia="da-DK"/>
        </w:rPr>
        <w:t>. Fristerne</w:t>
      </w:r>
      <w:r w:rsidRPr="00577043">
        <w:rPr>
          <w:rFonts w:eastAsia="Times New Roman" w:cs="Times New Roman"/>
          <w:bCs/>
          <w:color w:val="000000"/>
          <w:lang w:eastAsia="da-DK"/>
        </w:rPr>
        <w:t xml:space="preserve"> tager udgangspunkt i</w:t>
      </w:r>
      <w:r w:rsidR="00570325">
        <w:rPr>
          <w:rFonts w:eastAsia="Times New Roman" w:cs="Times New Roman"/>
          <w:bCs/>
          <w:color w:val="000000"/>
          <w:lang w:eastAsia="da-DK"/>
        </w:rPr>
        <w:t xml:space="preserve"> hensynet til</w:t>
      </w:r>
      <w:r w:rsidRPr="00577043">
        <w:rPr>
          <w:rFonts w:eastAsia="Times New Roman" w:cs="Times New Roman"/>
          <w:bCs/>
          <w:color w:val="000000"/>
          <w:lang w:eastAsia="da-DK"/>
        </w:rPr>
        <w:t xml:space="preserve">, at der </w:t>
      </w:r>
      <w:r w:rsidR="00570325">
        <w:rPr>
          <w:rFonts w:eastAsia="Times New Roman" w:cs="Times New Roman"/>
          <w:bCs/>
          <w:color w:val="000000"/>
          <w:lang w:eastAsia="da-DK"/>
        </w:rPr>
        <w:t>skal være</w:t>
      </w:r>
      <w:r w:rsidRPr="00577043">
        <w:rPr>
          <w:rFonts w:eastAsia="Times New Roman" w:cs="Times New Roman"/>
          <w:bCs/>
          <w:color w:val="000000"/>
          <w:lang w:eastAsia="da-DK"/>
        </w:rPr>
        <w:t xml:space="preserve"> tilstrækkelig tid til at vurdere dokumentationen, samtidig med</w:t>
      </w:r>
      <w:r w:rsidR="00570325">
        <w:rPr>
          <w:rFonts w:eastAsia="Times New Roman" w:cs="Times New Roman"/>
          <w:bCs/>
          <w:color w:val="000000"/>
          <w:lang w:eastAsia="da-DK"/>
        </w:rPr>
        <w:t xml:space="preserve"> hensynet til at sikre</w:t>
      </w:r>
      <w:r w:rsidRPr="00577043">
        <w:rPr>
          <w:rFonts w:eastAsia="Times New Roman" w:cs="Times New Roman"/>
          <w:bCs/>
          <w:color w:val="000000"/>
          <w:lang w:eastAsia="da-DK"/>
        </w:rPr>
        <w:t xml:space="preserve">, at </w:t>
      </w:r>
      <w:r w:rsidR="0014439F">
        <w:rPr>
          <w:rFonts w:eastAsia="Times New Roman" w:cs="Times New Roman"/>
          <w:bCs/>
          <w:color w:val="000000"/>
          <w:lang w:eastAsia="da-DK"/>
        </w:rPr>
        <w:t>patienter får</w:t>
      </w:r>
      <w:r w:rsidRPr="00577043">
        <w:rPr>
          <w:rFonts w:eastAsia="Times New Roman" w:cs="Times New Roman"/>
          <w:bCs/>
          <w:color w:val="000000"/>
          <w:lang w:eastAsia="da-DK"/>
        </w:rPr>
        <w:t xml:space="preserve"> hurtig adgang til nye, innovative behandlinger, og </w:t>
      </w:r>
      <w:r w:rsidR="00570325">
        <w:rPr>
          <w:rFonts w:eastAsia="Times New Roman" w:cs="Times New Roman"/>
          <w:bCs/>
          <w:color w:val="000000"/>
          <w:lang w:eastAsia="da-DK"/>
        </w:rPr>
        <w:t xml:space="preserve">hensynet til </w:t>
      </w:r>
      <w:r w:rsidRPr="00577043">
        <w:rPr>
          <w:rFonts w:eastAsia="Times New Roman" w:cs="Times New Roman"/>
          <w:bCs/>
          <w:color w:val="000000"/>
          <w:lang w:eastAsia="da-DK"/>
        </w:rPr>
        <w:t>at EU forbliver et attraktivt sted for gennemførelse af kliniske forsøg.</w:t>
      </w:r>
      <w:r w:rsidR="00A91E8D" w:rsidRPr="00577043">
        <w:rPr>
          <w:rFonts w:eastAsia="Times New Roman" w:cs="Times New Roman"/>
          <w:bCs/>
          <w:color w:val="000000"/>
          <w:lang w:eastAsia="da-DK"/>
        </w:rPr>
        <w:t xml:space="preserve"> </w:t>
      </w:r>
    </w:p>
    <w:p w14:paraId="04603772" w14:textId="77777777" w:rsidR="002D01C4" w:rsidRPr="00577043" w:rsidRDefault="002D01C4" w:rsidP="00E35D75">
      <w:pPr>
        <w:rPr>
          <w:rFonts w:eastAsia="Times New Roman" w:cs="Times New Roman"/>
          <w:bCs/>
          <w:color w:val="000000"/>
          <w:lang w:eastAsia="da-DK"/>
        </w:rPr>
      </w:pPr>
    </w:p>
    <w:p w14:paraId="7A3BBFFE" w14:textId="77777777" w:rsidR="007C596C" w:rsidRPr="00577043" w:rsidRDefault="00A70A1D" w:rsidP="007C596C">
      <w:pPr>
        <w:rPr>
          <w:rFonts w:eastAsia="Times New Roman" w:cs="Times New Roman"/>
          <w:bCs/>
          <w:color w:val="000000"/>
          <w:lang w:eastAsia="da-DK"/>
        </w:rPr>
      </w:pPr>
      <w:r>
        <w:rPr>
          <w:rFonts w:eastAsia="Times New Roman" w:cs="Times New Roman"/>
          <w:bCs/>
          <w:color w:val="000000"/>
          <w:lang w:eastAsia="da-DK"/>
        </w:rPr>
        <w:t xml:space="preserve">Tidsrammerne </w:t>
      </w:r>
      <w:r w:rsidR="007C596C" w:rsidRPr="00577043">
        <w:rPr>
          <w:rFonts w:eastAsia="Times New Roman" w:cs="Times New Roman"/>
          <w:bCs/>
          <w:color w:val="000000"/>
          <w:lang w:eastAsia="da-DK"/>
        </w:rPr>
        <w:t>for vurdering af anmeldelser</w:t>
      </w:r>
      <w:r>
        <w:rPr>
          <w:rFonts w:eastAsia="Times New Roman" w:cs="Times New Roman"/>
          <w:bCs/>
          <w:color w:val="000000"/>
          <w:lang w:eastAsia="da-DK"/>
        </w:rPr>
        <w:t xml:space="preserve"> bliver væsentligt snævrere, og overskridelse af tidsfristerne vil have afgørende konsekvenser for </w:t>
      </w:r>
      <w:r w:rsidR="002D01C4">
        <w:rPr>
          <w:rFonts w:eastAsia="Times New Roman" w:cs="Times New Roman"/>
          <w:bCs/>
          <w:color w:val="000000"/>
          <w:lang w:eastAsia="da-DK"/>
        </w:rPr>
        <w:t>den berørte medlemsstat</w:t>
      </w:r>
      <w:r w:rsidR="007C596C" w:rsidRPr="00577043">
        <w:rPr>
          <w:rFonts w:eastAsia="Times New Roman" w:cs="Times New Roman"/>
          <w:bCs/>
          <w:color w:val="000000"/>
          <w:lang w:eastAsia="da-DK"/>
        </w:rPr>
        <w:t xml:space="preserve">. Hvis tidsfristen for at meddele sponsor en afgørelse ikke overholdes, anses konklusionen fra den rapporterende medlemsstat </w:t>
      </w:r>
      <w:r w:rsidR="00380888">
        <w:rPr>
          <w:rFonts w:eastAsia="Times New Roman" w:cs="Times New Roman"/>
          <w:bCs/>
          <w:color w:val="000000"/>
          <w:lang w:eastAsia="da-DK"/>
        </w:rPr>
        <w:t xml:space="preserve">for så vidt angår vurderingsrapport del I </w:t>
      </w:r>
      <w:r w:rsidR="007C596C" w:rsidRPr="00577043">
        <w:rPr>
          <w:rFonts w:eastAsia="Times New Roman" w:cs="Times New Roman"/>
          <w:bCs/>
          <w:color w:val="000000"/>
          <w:lang w:eastAsia="da-DK"/>
        </w:rPr>
        <w:t xml:space="preserve">for at være den berørte medlemsstats konklusionen. Danmark </w:t>
      </w:r>
      <w:r w:rsidR="00530E03">
        <w:rPr>
          <w:rFonts w:eastAsia="Times New Roman" w:cs="Times New Roman"/>
          <w:bCs/>
          <w:color w:val="000000"/>
          <w:lang w:eastAsia="da-DK"/>
        </w:rPr>
        <w:t xml:space="preserve">kan </w:t>
      </w:r>
      <w:r w:rsidR="007C596C" w:rsidRPr="00577043">
        <w:rPr>
          <w:rFonts w:eastAsia="Times New Roman" w:cs="Times New Roman"/>
          <w:bCs/>
          <w:color w:val="000000"/>
          <w:lang w:eastAsia="da-DK"/>
        </w:rPr>
        <w:t>således</w:t>
      </w:r>
      <w:r w:rsidR="002D01C4">
        <w:rPr>
          <w:rFonts w:eastAsia="Times New Roman" w:cs="Times New Roman"/>
          <w:bCs/>
          <w:color w:val="000000"/>
          <w:lang w:eastAsia="da-DK"/>
        </w:rPr>
        <w:t xml:space="preserve">  </w:t>
      </w:r>
      <w:r w:rsidR="00721AA8">
        <w:rPr>
          <w:rFonts w:eastAsia="Times New Roman" w:cs="Times New Roman"/>
          <w:bCs/>
          <w:color w:val="000000"/>
          <w:lang w:eastAsia="da-DK"/>
        </w:rPr>
        <w:t xml:space="preserve">i tilfælde, hvor </w:t>
      </w:r>
      <w:r w:rsidR="0058651B">
        <w:rPr>
          <w:rFonts w:eastAsia="Times New Roman" w:cs="Times New Roman"/>
          <w:bCs/>
          <w:color w:val="000000"/>
          <w:lang w:eastAsia="da-DK"/>
        </w:rPr>
        <w:t>Lægemiddelstyrelsen</w:t>
      </w:r>
      <w:r w:rsidR="007C596C" w:rsidRPr="00577043">
        <w:rPr>
          <w:rFonts w:eastAsia="Times New Roman" w:cs="Times New Roman"/>
          <w:bCs/>
          <w:color w:val="000000"/>
          <w:lang w:eastAsia="da-DK"/>
        </w:rPr>
        <w:t xml:space="preserve"> eller den videnskabsetiske komité </w:t>
      </w:r>
      <w:r w:rsidR="0089512C">
        <w:rPr>
          <w:rFonts w:eastAsia="Times New Roman" w:cs="Times New Roman"/>
          <w:bCs/>
          <w:color w:val="000000"/>
          <w:lang w:eastAsia="da-DK"/>
        </w:rPr>
        <w:t>vurderer, at e</w:t>
      </w:r>
      <w:r w:rsidR="002D01C4">
        <w:rPr>
          <w:rFonts w:eastAsia="Times New Roman" w:cs="Times New Roman"/>
          <w:bCs/>
          <w:color w:val="000000"/>
          <w:lang w:eastAsia="da-DK"/>
        </w:rPr>
        <w:t xml:space="preserve">t forsøg </w:t>
      </w:r>
      <w:r w:rsidR="007C596C" w:rsidRPr="00577043">
        <w:rPr>
          <w:rFonts w:eastAsia="Times New Roman" w:cs="Times New Roman"/>
          <w:bCs/>
          <w:color w:val="000000"/>
          <w:lang w:eastAsia="da-DK"/>
        </w:rPr>
        <w:t xml:space="preserve">bør </w:t>
      </w:r>
      <w:r w:rsidR="002D01C4">
        <w:rPr>
          <w:rFonts w:eastAsia="Times New Roman" w:cs="Times New Roman"/>
          <w:bCs/>
          <w:color w:val="000000"/>
          <w:lang w:eastAsia="da-DK"/>
        </w:rPr>
        <w:t>afvises</w:t>
      </w:r>
      <w:r w:rsidR="007C596C" w:rsidRPr="00577043">
        <w:rPr>
          <w:rFonts w:eastAsia="Times New Roman" w:cs="Times New Roman"/>
          <w:bCs/>
          <w:color w:val="000000"/>
          <w:lang w:eastAsia="da-DK"/>
        </w:rPr>
        <w:t xml:space="preserve">, </w:t>
      </w:r>
      <w:r w:rsidR="00530E03">
        <w:rPr>
          <w:rFonts w:eastAsia="Times New Roman" w:cs="Times New Roman"/>
          <w:bCs/>
          <w:color w:val="000000"/>
          <w:lang w:eastAsia="da-DK"/>
        </w:rPr>
        <w:t xml:space="preserve">opleve, at et </w:t>
      </w:r>
      <w:r w:rsidR="002D01C4">
        <w:rPr>
          <w:rFonts w:eastAsia="Times New Roman" w:cs="Times New Roman"/>
          <w:bCs/>
          <w:color w:val="000000"/>
          <w:lang w:eastAsia="da-DK"/>
        </w:rPr>
        <w:t xml:space="preserve">forsøg </w:t>
      </w:r>
      <w:r w:rsidR="007C596C" w:rsidRPr="00577043">
        <w:rPr>
          <w:rFonts w:eastAsia="Times New Roman" w:cs="Times New Roman"/>
          <w:bCs/>
          <w:color w:val="000000"/>
          <w:lang w:eastAsia="da-DK"/>
        </w:rPr>
        <w:t>alligevel blive</w:t>
      </w:r>
      <w:r w:rsidR="00530E03">
        <w:rPr>
          <w:rFonts w:eastAsia="Times New Roman" w:cs="Times New Roman"/>
          <w:bCs/>
          <w:color w:val="000000"/>
          <w:lang w:eastAsia="da-DK"/>
        </w:rPr>
        <w:t>r</w:t>
      </w:r>
      <w:r w:rsidR="007C596C" w:rsidRPr="00577043">
        <w:rPr>
          <w:rFonts w:eastAsia="Times New Roman" w:cs="Times New Roman"/>
          <w:bCs/>
          <w:color w:val="000000"/>
          <w:lang w:eastAsia="da-DK"/>
        </w:rPr>
        <w:t xml:space="preserve"> godkendt og gennemført </w:t>
      </w:r>
      <w:r w:rsidR="0089512C">
        <w:rPr>
          <w:rFonts w:eastAsia="Times New Roman" w:cs="Times New Roman"/>
          <w:bCs/>
          <w:color w:val="000000"/>
          <w:lang w:eastAsia="da-DK"/>
        </w:rPr>
        <w:t>her i landet</w:t>
      </w:r>
      <w:r w:rsidR="007C596C" w:rsidRPr="00577043">
        <w:rPr>
          <w:rFonts w:eastAsia="Times New Roman" w:cs="Times New Roman"/>
          <w:bCs/>
          <w:color w:val="000000"/>
          <w:lang w:eastAsia="da-DK"/>
        </w:rPr>
        <w:t>, hvis Danmark ikke har meddelt sin afgørelse inden for tidsfristen.</w:t>
      </w:r>
    </w:p>
    <w:p w14:paraId="61415A39" w14:textId="77777777" w:rsidR="00492C41" w:rsidRDefault="00492C41" w:rsidP="00E35D75">
      <w:pPr>
        <w:rPr>
          <w:rFonts w:eastAsia="Times New Roman" w:cs="Times New Roman"/>
          <w:bCs/>
          <w:color w:val="000000"/>
          <w:lang w:eastAsia="da-DK"/>
        </w:rPr>
      </w:pPr>
    </w:p>
    <w:p w14:paraId="232F2CBA" w14:textId="77777777" w:rsidR="00492C41" w:rsidRPr="00492C41" w:rsidRDefault="007C596C" w:rsidP="00214725">
      <w:pPr>
        <w:pStyle w:val="Overskrift5"/>
        <w:rPr>
          <w:rFonts w:eastAsia="Times New Roman"/>
          <w:lang w:eastAsia="da-DK"/>
        </w:rPr>
      </w:pPr>
      <w:r>
        <w:rPr>
          <w:rFonts w:eastAsia="Times New Roman" w:cs="Times New Roman"/>
          <w:bCs/>
          <w:color w:val="000000"/>
          <w:lang w:eastAsia="da-DK"/>
        </w:rPr>
        <w:t xml:space="preserve">1.5. </w:t>
      </w:r>
      <w:r w:rsidR="00492C41">
        <w:rPr>
          <w:rFonts w:eastAsia="Times New Roman"/>
          <w:lang w:eastAsia="da-DK"/>
        </w:rPr>
        <w:t>Fælles afgørelse</w:t>
      </w:r>
    </w:p>
    <w:p w14:paraId="63D3A440" w14:textId="77777777" w:rsidR="004D0510" w:rsidRPr="00577043" w:rsidRDefault="00B60971" w:rsidP="00E35D75">
      <w:pPr>
        <w:rPr>
          <w:rFonts w:eastAsia="Times New Roman" w:cs="Times New Roman"/>
          <w:bCs/>
          <w:color w:val="000000"/>
          <w:lang w:eastAsia="da-DK"/>
        </w:rPr>
      </w:pPr>
      <w:r w:rsidRPr="00577043">
        <w:rPr>
          <w:rFonts w:eastAsia="Times New Roman" w:cs="Times New Roman"/>
          <w:bCs/>
          <w:color w:val="000000"/>
          <w:lang w:eastAsia="da-DK"/>
        </w:rPr>
        <w:t xml:space="preserve">Forordningens krav til ansøgningsprocedurer medfører, at der skal træffes en fælles afgørelse </w:t>
      </w:r>
      <w:r w:rsidR="008647A7">
        <w:rPr>
          <w:rFonts w:eastAsia="Times New Roman" w:cs="Times New Roman"/>
          <w:bCs/>
          <w:color w:val="000000"/>
          <w:lang w:eastAsia="da-DK"/>
        </w:rPr>
        <w:t>om</w:t>
      </w:r>
      <w:r w:rsidRPr="00577043">
        <w:rPr>
          <w:rFonts w:eastAsia="Times New Roman" w:cs="Times New Roman"/>
          <w:bCs/>
          <w:color w:val="000000"/>
          <w:lang w:eastAsia="da-DK"/>
        </w:rPr>
        <w:t xml:space="preserve"> godkendelse af </w:t>
      </w:r>
      <w:r w:rsidR="008D338C" w:rsidRPr="00577043">
        <w:rPr>
          <w:rFonts w:eastAsia="Times New Roman" w:cs="Times New Roman"/>
          <w:bCs/>
          <w:color w:val="000000"/>
          <w:lang w:eastAsia="da-DK"/>
        </w:rPr>
        <w:t xml:space="preserve">en </w:t>
      </w:r>
      <w:r w:rsidRPr="00577043">
        <w:rPr>
          <w:rFonts w:eastAsia="Times New Roman" w:cs="Times New Roman"/>
          <w:bCs/>
          <w:color w:val="000000"/>
          <w:lang w:eastAsia="da-DK"/>
        </w:rPr>
        <w:t>ansøgning på grundlag af den sundhe</w:t>
      </w:r>
      <w:r w:rsidR="00640D22" w:rsidRPr="00577043">
        <w:rPr>
          <w:rFonts w:eastAsia="Times New Roman" w:cs="Times New Roman"/>
          <w:bCs/>
          <w:color w:val="000000"/>
          <w:lang w:eastAsia="da-DK"/>
        </w:rPr>
        <w:t xml:space="preserve">dsfaglige og videnskabsetiske vurdering. </w:t>
      </w:r>
      <w:r w:rsidRPr="00577043">
        <w:rPr>
          <w:rFonts w:eastAsia="Times New Roman" w:cs="Times New Roman"/>
          <w:bCs/>
          <w:color w:val="000000"/>
          <w:lang w:eastAsia="da-DK"/>
        </w:rPr>
        <w:t xml:space="preserve">Der skal med andre ord ske en tæt koordinering af behandlingen af ansøgninger </w:t>
      </w:r>
      <w:r w:rsidR="004D0510" w:rsidRPr="00577043">
        <w:rPr>
          <w:rFonts w:eastAsia="Times New Roman" w:cs="Times New Roman"/>
          <w:bCs/>
          <w:color w:val="000000"/>
          <w:lang w:eastAsia="da-DK"/>
        </w:rPr>
        <w:t xml:space="preserve">mellem </w:t>
      </w:r>
      <w:r w:rsidR="0058651B">
        <w:rPr>
          <w:rFonts w:eastAsia="Times New Roman" w:cs="Times New Roman"/>
          <w:bCs/>
          <w:color w:val="000000"/>
          <w:lang w:eastAsia="da-DK"/>
        </w:rPr>
        <w:t>Lægemiddelstyrelsen</w:t>
      </w:r>
      <w:r w:rsidR="004D0510" w:rsidRPr="00577043">
        <w:rPr>
          <w:rFonts w:eastAsia="Times New Roman" w:cs="Times New Roman"/>
          <w:bCs/>
          <w:color w:val="000000"/>
          <w:lang w:eastAsia="da-DK"/>
        </w:rPr>
        <w:t xml:space="preserve"> og den videnskabsetiske komité i vurderingsprocessen. </w:t>
      </w:r>
    </w:p>
    <w:p w14:paraId="49510C6F" w14:textId="77777777" w:rsidR="00492C41" w:rsidRDefault="00492C41" w:rsidP="00E35D75">
      <w:pPr>
        <w:rPr>
          <w:rFonts w:eastAsia="Times New Roman" w:cs="Times New Roman"/>
          <w:bCs/>
          <w:color w:val="000000"/>
          <w:lang w:eastAsia="da-DK"/>
        </w:rPr>
      </w:pPr>
    </w:p>
    <w:p w14:paraId="4556C85A" w14:textId="77777777" w:rsidR="00275170" w:rsidRPr="00275170" w:rsidRDefault="00E25D02" w:rsidP="00214725">
      <w:pPr>
        <w:pStyle w:val="Overskrift5"/>
        <w:rPr>
          <w:rFonts w:eastAsia="Times New Roman"/>
          <w:lang w:eastAsia="da-DK"/>
        </w:rPr>
      </w:pPr>
      <w:r>
        <w:rPr>
          <w:rFonts w:eastAsia="Times New Roman"/>
          <w:lang w:eastAsia="da-DK"/>
        </w:rPr>
        <w:t xml:space="preserve">1.6. </w:t>
      </w:r>
      <w:r w:rsidR="008F44F5">
        <w:rPr>
          <w:rFonts w:eastAsia="Times New Roman"/>
          <w:lang w:eastAsia="da-DK"/>
        </w:rPr>
        <w:t xml:space="preserve">EU-databasen </w:t>
      </w:r>
      <w:r w:rsidR="00E6532D">
        <w:rPr>
          <w:rFonts w:eastAsia="Times New Roman"/>
          <w:lang w:eastAsia="da-DK"/>
        </w:rPr>
        <w:t>og gennemsigtighed</w:t>
      </w:r>
    </w:p>
    <w:p w14:paraId="2D511038" w14:textId="77777777" w:rsidR="008F44F5" w:rsidRPr="00577043" w:rsidRDefault="008F44F5" w:rsidP="008F44F5">
      <w:pPr>
        <w:rPr>
          <w:rFonts w:eastAsia="Times New Roman" w:cs="Times New Roman"/>
          <w:bCs/>
          <w:color w:val="000000"/>
          <w:lang w:eastAsia="da-DK"/>
        </w:rPr>
      </w:pPr>
      <w:r w:rsidRPr="00577043">
        <w:rPr>
          <w:rFonts w:eastAsia="Times New Roman" w:cs="Times New Roman"/>
          <w:bCs/>
          <w:color w:val="000000"/>
          <w:lang w:eastAsia="da-DK"/>
        </w:rPr>
        <w:t>Data fra ansøgningerne og data fra gennemførelsen af de kliniske forsøg skal registreres i en fælles EU-database.</w:t>
      </w:r>
      <w:r>
        <w:rPr>
          <w:rFonts w:eastAsia="Times New Roman" w:cs="Times New Roman"/>
          <w:bCs/>
          <w:color w:val="000000"/>
          <w:lang w:eastAsia="da-DK"/>
        </w:rPr>
        <w:t xml:space="preserve"> Udvekslingen af oplysninger mellem myndigheder i forskellige lande og mellem myndigheder og sponsorer </w:t>
      </w:r>
      <w:r w:rsidR="0014439F">
        <w:rPr>
          <w:rFonts w:eastAsia="Times New Roman" w:cs="Times New Roman"/>
          <w:bCs/>
          <w:color w:val="000000"/>
          <w:lang w:eastAsia="da-DK"/>
        </w:rPr>
        <w:t>skal ske</w:t>
      </w:r>
      <w:r>
        <w:rPr>
          <w:rFonts w:eastAsia="Times New Roman" w:cs="Times New Roman"/>
          <w:bCs/>
          <w:color w:val="000000"/>
          <w:lang w:eastAsia="da-DK"/>
        </w:rPr>
        <w:t xml:space="preserve"> gennem </w:t>
      </w:r>
      <w:r w:rsidR="00380888">
        <w:rPr>
          <w:rFonts w:eastAsia="Times New Roman" w:cs="Times New Roman"/>
          <w:bCs/>
          <w:color w:val="000000"/>
          <w:lang w:eastAsia="da-DK"/>
        </w:rPr>
        <w:t xml:space="preserve">portalen og </w:t>
      </w:r>
      <w:r>
        <w:rPr>
          <w:rFonts w:eastAsia="Times New Roman" w:cs="Times New Roman"/>
          <w:bCs/>
          <w:color w:val="000000"/>
          <w:lang w:eastAsia="da-DK"/>
        </w:rPr>
        <w:t>databasen, hvilke</w:t>
      </w:r>
      <w:r w:rsidR="0014439F">
        <w:rPr>
          <w:rFonts w:eastAsia="Times New Roman" w:cs="Times New Roman"/>
          <w:bCs/>
          <w:color w:val="000000"/>
          <w:lang w:eastAsia="da-DK"/>
        </w:rPr>
        <w:t>t</w:t>
      </w:r>
      <w:r>
        <w:rPr>
          <w:rFonts w:eastAsia="Times New Roman" w:cs="Times New Roman"/>
          <w:bCs/>
          <w:color w:val="000000"/>
          <w:lang w:eastAsia="da-DK"/>
        </w:rPr>
        <w:t xml:space="preserve"> vil give et bedre grundlag for en effektiv kommunikation </w:t>
      </w:r>
      <w:r w:rsidR="00AE5BF2">
        <w:rPr>
          <w:rFonts w:eastAsia="Times New Roman" w:cs="Times New Roman"/>
          <w:bCs/>
          <w:color w:val="000000"/>
          <w:lang w:eastAsia="da-DK"/>
        </w:rPr>
        <w:t>i forbindelse med be</w:t>
      </w:r>
      <w:r>
        <w:rPr>
          <w:rFonts w:eastAsia="Times New Roman" w:cs="Times New Roman"/>
          <w:bCs/>
          <w:color w:val="000000"/>
          <w:lang w:eastAsia="da-DK"/>
        </w:rPr>
        <w:t xml:space="preserve">handlingen af ansøgninger. </w:t>
      </w:r>
    </w:p>
    <w:p w14:paraId="19E800EC" w14:textId="77777777" w:rsidR="008F44F5" w:rsidRDefault="008F44F5" w:rsidP="00275170">
      <w:pPr>
        <w:rPr>
          <w:rFonts w:eastAsia="Times New Roman" w:cs="Times New Roman"/>
          <w:bCs/>
          <w:color w:val="000000"/>
          <w:lang w:eastAsia="da-DK"/>
        </w:rPr>
      </w:pPr>
    </w:p>
    <w:p w14:paraId="747829A2" w14:textId="77777777" w:rsidR="00275170" w:rsidRDefault="00275170" w:rsidP="00275170">
      <w:pPr>
        <w:rPr>
          <w:rFonts w:eastAsia="Times New Roman" w:cs="Times New Roman"/>
          <w:bCs/>
          <w:color w:val="000000"/>
          <w:lang w:eastAsia="da-DK"/>
        </w:rPr>
      </w:pPr>
      <w:r>
        <w:rPr>
          <w:rFonts w:eastAsia="Times New Roman" w:cs="Times New Roman"/>
          <w:bCs/>
          <w:color w:val="000000"/>
          <w:lang w:eastAsia="da-DK"/>
        </w:rPr>
        <w:t xml:space="preserve">Det er </w:t>
      </w:r>
      <w:r w:rsidR="008A3C94">
        <w:rPr>
          <w:rFonts w:eastAsia="Times New Roman" w:cs="Times New Roman"/>
          <w:bCs/>
          <w:color w:val="000000"/>
          <w:lang w:eastAsia="da-DK"/>
        </w:rPr>
        <w:t xml:space="preserve">i den forbindelse </w:t>
      </w:r>
      <w:r>
        <w:rPr>
          <w:rFonts w:eastAsia="Times New Roman" w:cs="Times New Roman"/>
          <w:bCs/>
          <w:color w:val="000000"/>
          <w:lang w:eastAsia="da-DK"/>
        </w:rPr>
        <w:t xml:space="preserve">et </w:t>
      </w:r>
      <w:r w:rsidR="008A3C94">
        <w:rPr>
          <w:rFonts w:eastAsia="Times New Roman" w:cs="Times New Roman"/>
          <w:bCs/>
          <w:color w:val="000000"/>
          <w:lang w:eastAsia="da-DK"/>
        </w:rPr>
        <w:t xml:space="preserve">væsentligt </w:t>
      </w:r>
      <w:r>
        <w:rPr>
          <w:rFonts w:eastAsia="Times New Roman" w:cs="Times New Roman"/>
          <w:bCs/>
          <w:color w:val="000000"/>
          <w:lang w:eastAsia="da-DK"/>
        </w:rPr>
        <w:t>element i f</w:t>
      </w:r>
      <w:r w:rsidRPr="00577043">
        <w:rPr>
          <w:rFonts w:eastAsia="Times New Roman" w:cs="Times New Roman"/>
          <w:bCs/>
          <w:color w:val="000000"/>
          <w:lang w:eastAsia="da-DK"/>
        </w:rPr>
        <w:t>orordningen</w:t>
      </w:r>
      <w:r>
        <w:rPr>
          <w:rFonts w:eastAsia="Times New Roman" w:cs="Times New Roman"/>
          <w:bCs/>
          <w:color w:val="000000"/>
          <w:lang w:eastAsia="da-DK"/>
        </w:rPr>
        <w:t xml:space="preserve">, at der skal være </w:t>
      </w:r>
      <w:r w:rsidRPr="00577043">
        <w:rPr>
          <w:rFonts w:eastAsia="Times New Roman" w:cs="Times New Roman"/>
          <w:bCs/>
          <w:color w:val="000000"/>
          <w:lang w:eastAsia="da-DK"/>
        </w:rPr>
        <w:t>gennemsigtighed</w:t>
      </w:r>
      <w:r>
        <w:rPr>
          <w:rFonts w:eastAsia="Times New Roman" w:cs="Times New Roman"/>
          <w:bCs/>
          <w:color w:val="000000"/>
          <w:lang w:eastAsia="da-DK"/>
        </w:rPr>
        <w:t xml:space="preserve"> i kliniske forsøg</w:t>
      </w:r>
      <w:r w:rsidR="008A3C94">
        <w:rPr>
          <w:rFonts w:eastAsia="Times New Roman" w:cs="Times New Roman"/>
          <w:bCs/>
          <w:color w:val="000000"/>
          <w:lang w:eastAsia="da-DK"/>
        </w:rPr>
        <w:t xml:space="preserve"> og dermed EU-databasens oplysninger</w:t>
      </w:r>
      <w:r w:rsidR="00F208B4">
        <w:rPr>
          <w:rFonts w:eastAsia="Times New Roman" w:cs="Times New Roman"/>
          <w:bCs/>
          <w:color w:val="000000"/>
          <w:lang w:eastAsia="da-DK"/>
        </w:rPr>
        <w:t>, jf. forordningens betragtning nr. 67 og 68 og art</w:t>
      </w:r>
      <w:r w:rsidR="00522513">
        <w:rPr>
          <w:rFonts w:eastAsia="Times New Roman" w:cs="Times New Roman"/>
          <w:bCs/>
          <w:color w:val="000000"/>
          <w:lang w:eastAsia="da-DK"/>
        </w:rPr>
        <w:t>ikel</w:t>
      </w:r>
      <w:r w:rsidR="00F208B4">
        <w:rPr>
          <w:rFonts w:eastAsia="Times New Roman" w:cs="Times New Roman"/>
          <w:bCs/>
          <w:color w:val="000000"/>
          <w:lang w:eastAsia="da-DK"/>
        </w:rPr>
        <w:t xml:space="preserve"> 81</w:t>
      </w:r>
      <w:r>
        <w:rPr>
          <w:rFonts w:eastAsia="Times New Roman" w:cs="Times New Roman"/>
          <w:bCs/>
          <w:color w:val="000000"/>
          <w:lang w:eastAsia="da-DK"/>
        </w:rPr>
        <w:t xml:space="preserve">. </w:t>
      </w:r>
      <w:r w:rsidRPr="00577043">
        <w:rPr>
          <w:rFonts w:eastAsia="Times New Roman" w:cs="Times New Roman"/>
          <w:bCs/>
          <w:color w:val="000000"/>
          <w:lang w:eastAsia="da-DK"/>
        </w:rPr>
        <w:t xml:space="preserve">Alle relevante oplysninger </w:t>
      </w:r>
      <w:r w:rsidR="008647A7">
        <w:rPr>
          <w:rFonts w:eastAsia="Times New Roman" w:cs="Times New Roman"/>
          <w:bCs/>
          <w:color w:val="000000"/>
          <w:lang w:eastAsia="da-DK"/>
        </w:rPr>
        <w:t>om</w:t>
      </w:r>
      <w:r w:rsidRPr="00577043">
        <w:rPr>
          <w:rFonts w:eastAsia="Times New Roman" w:cs="Times New Roman"/>
          <w:bCs/>
          <w:color w:val="000000"/>
          <w:lang w:eastAsia="da-DK"/>
        </w:rPr>
        <w:t xml:space="preserve"> de kliniske forsøg skal være offentligt tilgængelige m</w:t>
      </w:r>
      <w:r w:rsidR="00522513">
        <w:rPr>
          <w:rFonts w:eastAsia="Times New Roman" w:cs="Times New Roman"/>
          <w:bCs/>
          <w:color w:val="000000"/>
          <w:lang w:eastAsia="da-DK"/>
        </w:rPr>
        <w:t>ed henblik på</w:t>
      </w:r>
      <w:r w:rsidRPr="00577043">
        <w:rPr>
          <w:rFonts w:eastAsia="Times New Roman" w:cs="Times New Roman"/>
          <w:bCs/>
          <w:color w:val="000000"/>
          <w:lang w:eastAsia="da-DK"/>
        </w:rPr>
        <w:t xml:space="preserve"> at bidrage til at beskytte folkesundheden og fremme den europæiske medicinalforsknings innovationskapacitet, samtidig med at virksomhedernes legitime økonomiske interesser anerkendes</w:t>
      </w:r>
      <w:r w:rsidR="0072525E">
        <w:rPr>
          <w:rFonts w:eastAsia="Times New Roman" w:cs="Times New Roman"/>
          <w:bCs/>
          <w:color w:val="000000"/>
          <w:lang w:eastAsia="da-DK"/>
        </w:rPr>
        <w:t>.</w:t>
      </w:r>
    </w:p>
    <w:p w14:paraId="40E22C21" w14:textId="77777777" w:rsidR="00275170" w:rsidRPr="00577043" w:rsidRDefault="00275170" w:rsidP="00E35D75">
      <w:pPr>
        <w:rPr>
          <w:rFonts w:eastAsia="Times New Roman" w:cs="Times New Roman"/>
          <w:bCs/>
          <w:color w:val="000000"/>
          <w:lang w:eastAsia="da-DK"/>
        </w:rPr>
      </w:pPr>
    </w:p>
    <w:p w14:paraId="3FC3C6A1" w14:textId="77777777" w:rsidR="00F96CAA" w:rsidRPr="00577043" w:rsidRDefault="00E25D02" w:rsidP="00214725">
      <w:pPr>
        <w:pStyle w:val="Overskrift5"/>
        <w:rPr>
          <w:rFonts w:eastAsia="Times New Roman"/>
          <w:lang w:eastAsia="da-DK"/>
        </w:rPr>
      </w:pPr>
      <w:r>
        <w:rPr>
          <w:rFonts w:eastAsia="Times New Roman"/>
          <w:lang w:eastAsia="da-DK"/>
        </w:rPr>
        <w:t xml:space="preserve">1.7. </w:t>
      </w:r>
      <w:r w:rsidR="00F96CAA" w:rsidRPr="00577043">
        <w:rPr>
          <w:rFonts w:eastAsia="Times New Roman"/>
          <w:lang w:eastAsia="da-DK"/>
        </w:rPr>
        <w:t>Lægemiddelforsøg i Danmark</w:t>
      </w:r>
      <w:r w:rsidR="008E448D" w:rsidRPr="00577043">
        <w:rPr>
          <w:rFonts w:eastAsia="Times New Roman"/>
          <w:lang w:eastAsia="da-DK"/>
        </w:rPr>
        <w:t xml:space="preserve"> </w:t>
      </w:r>
    </w:p>
    <w:p w14:paraId="54A7E3C1" w14:textId="77777777" w:rsidR="00EF3B6E" w:rsidRPr="00577043" w:rsidRDefault="00EF3B6E" w:rsidP="00E35D75">
      <w:pPr>
        <w:rPr>
          <w:rFonts w:eastAsia="Times New Roman" w:cs="Times New Roman"/>
          <w:bCs/>
          <w:color w:val="000000"/>
          <w:lang w:eastAsia="da-DK"/>
        </w:rPr>
      </w:pPr>
      <w:r w:rsidRPr="00577043">
        <w:rPr>
          <w:rFonts w:eastAsia="Times New Roman" w:cs="Times New Roman"/>
          <w:bCs/>
          <w:color w:val="000000"/>
          <w:lang w:eastAsia="da-DK"/>
        </w:rPr>
        <w:t>De gældende regler om kliniske forsøg på mennesker med lægemidler er fastsat i hhv. lov nr. 593 af 14. juni 2011 om videnskabsetisk behandling af sundhedsvidenskabelige forskningsprojekter (</w:t>
      </w:r>
      <w:r w:rsidR="00B35F2C">
        <w:rPr>
          <w:rFonts w:eastAsia="Times New Roman" w:cs="Times New Roman"/>
          <w:bCs/>
          <w:color w:val="000000"/>
          <w:lang w:eastAsia="da-DK"/>
        </w:rPr>
        <w:t xml:space="preserve">herefter </w:t>
      </w:r>
      <w:r w:rsidRPr="00577043">
        <w:rPr>
          <w:rFonts w:eastAsia="Times New Roman" w:cs="Times New Roman"/>
          <w:bCs/>
          <w:color w:val="000000"/>
          <w:lang w:eastAsia="da-DK"/>
        </w:rPr>
        <w:t>komitéloven) og lov</w:t>
      </w:r>
      <w:r w:rsidRPr="00577043">
        <w:rPr>
          <w:rFonts w:eastAsia="Times New Roman" w:cs="Times New Roman"/>
          <w:color w:val="000000"/>
          <w:lang w:eastAsia="da-DK"/>
        </w:rPr>
        <w:t xml:space="preserve"> om lægemidler, jf. lovbekendtgørelse nr. 506 af 20. april 2013 (</w:t>
      </w:r>
      <w:r w:rsidR="00B35F2C">
        <w:rPr>
          <w:rFonts w:eastAsia="Times New Roman" w:cs="Times New Roman"/>
          <w:color w:val="000000"/>
          <w:lang w:eastAsia="da-DK"/>
        </w:rPr>
        <w:t xml:space="preserve">herefter </w:t>
      </w:r>
      <w:r w:rsidRPr="00577043">
        <w:rPr>
          <w:rFonts w:eastAsia="Times New Roman" w:cs="Times New Roman"/>
          <w:color w:val="000000"/>
          <w:lang w:eastAsia="da-DK"/>
        </w:rPr>
        <w:t>lægemiddelloven) samt tilhørende bekendtgørelser m</w:t>
      </w:r>
      <w:r w:rsidR="00094421">
        <w:rPr>
          <w:rFonts w:eastAsia="Times New Roman" w:cs="Times New Roman"/>
          <w:color w:val="000000"/>
          <w:lang w:eastAsia="da-DK"/>
        </w:rPr>
        <w:t>.</w:t>
      </w:r>
      <w:r w:rsidRPr="00577043">
        <w:rPr>
          <w:rFonts w:eastAsia="Times New Roman" w:cs="Times New Roman"/>
          <w:color w:val="000000"/>
          <w:lang w:eastAsia="da-DK"/>
        </w:rPr>
        <w:t>v.</w:t>
      </w:r>
    </w:p>
    <w:p w14:paraId="47D95814" w14:textId="77777777" w:rsidR="0004208F" w:rsidRPr="00577043" w:rsidRDefault="0004208F" w:rsidP="00E35D75">
      <w:pPr>
        <w:rPr>
          <w:rFonts w:eastAsia="Times New Roman" w:cs="Times New Roman"/>
          <w:bCs/>
          <w:i/>
          <w:color w:val="000000"/>
          <w:lang w:eastAsia="da-DK"/>
        </w:rPr>
      </w:pPr>
    </w:p>
    <w:p w14:paraId="7814BF7E" w14:textId="77777777" w:rsidR="00EF3B6E" w:rsidRPr="00577043" w:rsidRDefault="00EF3B6E" w:rsidP="00E35D75">
      <w:pPr>
        <w:rPr>
          <w:rFonts w:eastAsia="Times New Roman" w:cs="Times New Roman"/>
          <w:bCs/>
          <w:color w:val="000000"/>
          <w:lang w:eastAsia="da-DK"/>
        </w:rPr>
      </w:pPr>
      <w:r w:rsidRPr="00577043">
        <w:rPr>
          <w:rFonts w:eastAsia="Times New Roman" w:cs="Times New Roman"/>
          <w:bCs/>
          <w:color w:val="000000"/>
          <w:lang w:eastAsia="da-DK"/>
        </w:rPr>
        <w:t>Kliniske forsøg på mennesker med lægemidler forudsætter i medfør af lægemiddellovens § 8</w:t>
      </w:r>
      <w:r w:rsidR="00380888">
        <w:rPr>
          <w:rFonts w:eastAsia="Times New Roman" w:cs="Times New Roman"/>
          <w:bCs/>
          <w:color w:val="000000"/>
          <w:lang w:eastAsia="da-DK"/>
        </w:rPr>
        <w:t>8</w:t>
      </w:r>
      <w:r w:rsidRPr="00577043">
        <w:rPr>
          <w:rFonts w:eastAsia="Times New Roman" w:cs="Times New Roman"/>
          <w:bCs/>
          <w:color w:val="000000"/>
          <w:lang w:eastAsia="da-DK"/>
        </w:rPr>
        <w:t xml:space="preserve"> en godkendelse fra </w:t>
      </w:r>
      <w:r w:rsidR="0058651B">
        <w:rPr>
          <w:rFonts w:eastAsia="Times New Roman" w:cs="Times New Roman"/>
          <w:bCs/>
          <w:color w:val="000000"/>
          <w:lang w:eastAsia="da-DK"/>
        </w:rPr>
        <w:t>Lægemiddelstyrelsen</w:t>
      </w:r>
      <w:r w:rsidRPr="00577043">
        <w:rPr>
          <w:rFonts w:eastAsia="Times New Roman" w:cs="Times New Roman"/>
          <w:bCs/>
          <w:color w:val="000000"/>
          <w:lang w:eastAsia="da-DK"/>
        </w:rPr>
        <w:t xml:space="preserve"> og i medfør af komitélovens § 13 en godkendelse fra en videnskabsetisk komité med henblik på at sikre, at et forsøg gennemføres sundhedsfagligt og videnskabsetisk forsvarligt. </w:t>
      </w:r>
    </w:p>
    <w:p w14:paraId="4F0348DF" w14:textId="77777777" w:rsidR="00B53A8E" w:rsidRDefault="00B53A8E" w:rsidP="00EF3B6E">
      <w:pPr>
        <w:rPr>
          <w:rFonts w:eastAsia="Times New Roman" w:cs="Times New Roman"/>
          <w:bCs/>
          <w:color w:val="000000"/>
          <w:lang w:eastAsia="da-DK"/>
        </w:rPr>
      </w:pPr>
    </w:p>
    <w:p w14:paraId="4C0F75D7" w14:textId="77777777" w:rsidR="00A7654F" w:rsidRPr="00577043" w:rsidRDefault="00A7654F" w:rsidP="00A7654F">
      <w:pPr>
        <w:rPr>
          <w:rFonts w:eastAsia="Times New Roman" w:cs="Times New Roman"/>
          <w:bCs/>
          <w:color w:val="000000"/>
          <w:lang w:eastAsia="da-DK"/>
        </w:rPr>
      </w:pPr>
      <w:r w:rsidRPr="00577043">
        <w:rPr>
          <w:rFonts w:eastAsia="Times New Roman" w:cs="Times New Roman"/>
          <w:bCs/>
          <w:color w:val="000000"/>
          <w:lang w:eastAsia="da-DK"/>
        </w:rPr>
        <w:lastRenderedPageBreak/>
        <w:t xml:space="preserve">I </w:t>
      </w:r>
      <w:r w:rsidR="00EF7F65">
        <w:rPr>
          <w:rFonts w:eastAsia="Times New Roman" w:cs="Times New Roman"/>
          <w:bCs/>
          <w:color w:val="000000"/>
          <w:lang w:eastAsia="da-DK"/>
        </w:rPr>
        <w:t>2014</w:t>
      </w:r>
      <w:r w:rsidRPr="00577043">
        <w:rPr>
          <w:rFonts w:eastAsia="Times New Roman" w:cs="Times New Roman"/>
          <w:bCs/>
          <w:color w:val="000000"/>
          <w:lang w:eastAsia="da-DK"/>
        </w:rPr>
        <w:t xml:space="preserve"> modtog </w:t>
      </w:r>
      <w:r w:rsidR="0058651B">
        <w:rPr>
          <w:rFonts w:eastAsia="Times New Roman" w:cs="Times New Roman"/>
          <w:bCs/>
          <w:color w:val="000000"/>
          <w:lang w:eastAsia="da-DK"/>
        </w:rPr>
        <w:t>Lægemiddelstyrelsen</w:t>
      </w:r>
      <w:r w:rsidRPr="00577043">
        <w:rPr>
          <w:rFonts w:eastAsia="Times New Roman" w:cs="Times New Roman"/>
          <w:bCs/>
          <w:color w:val="000000"/>
          <w:lang w:eastAsia="da-DK"/>
        </w:rPr>
        <w:t xml:space="preserve"> </w:t>
      </w:r>
      <w:r w:rsidR="00A24E88">
        <w:rPr>
          <w:rFonts w:eastAsia="Times New Roman" w:cs="Times New Roman"/>
          <w:bCs/>
          <w:color w:val="000000"/>
          <w:lang w:eastAsia="da-DK"/>
        </w:rPr>
        <w:t>og komitésystemet ca. 300</w:t>
      </w:r>
      <w:r w:rsidRPr="00577043">
        <w:rPr>
          <w:rFonts w:eastAsia="Times New Roman" w:cs="Times New Roman"/>
          <w:bCs/>
          <w:color w:val="000000"/>
          <w:lang w:eastAsia="da-DK"/>
        </w:rPr>
        <w:t xml:space="preserve"> ansøgninger om lægemiddelforsøg. Heraf udgjorde de </w:t>
      </w:r>
      <w:r>
        <w:rPr>
          <w:rFonts w:eastAsia="Times New Roman" w:cs="Times New Roman"/>
          <w:bCs/>
          <w:color w:val="000000"/>
          <w:lang w:eastAsia="da-DK"/>
        </w:rPr>
        <w:t>mul</w:t>
      </w:r>
      <w:r w:rsidRPr="00577043">
        <w:rPr>
          <w:rFonts w:eastAsia="Times New Roman" w:cs="Times New Roman"/>
          <w:bCs/>
          <w:color w:val="000000"/>
          <w:lang w:eastAsia="da-DK"/>
        </w:rPr>
        <w:t>ti</w:t>
      </w:r>
      <w:r>
        <w:rPr>
          <w:rFonts w:eastAsia="Times New Roman" w:cs="Times New Roman"/>
          <w:bCs/>
          <w:color w:val="000000"/>
          <w:lang w:eastAsia="da-DK"/>
        </w:rPr>
        <w:t>nati</w:t>
      </w:r>
      <w:r w:rsidRPr="00577043">
        <w:rPr>
          <w:rFonts w:eastAsia="Times New Roman" w:cs="Times New Roman"/>
          <w:bCs/>
          <w:color w:val="000000"/>
          <w:lang w:eastAsia="da-DK"/>
        </w:rPr>
        <w:t>onale forsøg med lægemidler ca. 65 %. Det forventes, at forordningen vil medføre, at flere forsøg</w:t>
      </w:r>
      <w:r w:rsidR="00EF7F65">
        <w:rPr>
          <w:rFonts w:eastAsia="Times New Roman" w:cs="Times New Roman"/>
          <w:bCs/>
          <w:color w:val="000000"/>
          <w:lang w:eastAsia="da-DK"/>
        </w:rPr>
        <w:t xml:space="preserve"> vil blive </w:t>
      </w:r>
      <w:r w:rsidRPr="00577043">
        <w:rPr>
          <w:rFonts w:eastAsia="Times New Roman" w:cs="Times New Roman"/>
          <w:bCs/>
          <w:color w:val="000000"/>
          <w:lang w:eastAsia="da-DK"/>
        </w:rPr>
        <w:t>placere</w:t>
      </w:r>
      <w:r w:rsidR="00EF7F65">
        <w:rPr>
          <w:rFonts w:eastAsia="Times New Roman" w:cs="Times New Roman"/>
          <w:bCs/>
          <w:color w:val="000000"/>
          <w:lang w:eastAsia="da-DK"/>
        </w:rPr>
        <w:t>t</w:t>
      </w:r>
      <w:r w:rsidRPr="00577043">
        <w:rPr>
          <w:rFonts w:eastAsia="Times New Roman" w:cs="Times New Roman"/>
          <w:bCs/>
          <w:color w:val="000000"/>
          <w:lang w:eastAsia="da-DK"/>
        </w:rPr>
        <w:t xml:space="preserve"> i E</w:t>
      </w:r>
      <w:r w:rsidR="00EF7F65">
        <w:rPr>
          <w:rFonts w:eastAsia="Times New Roman" w:cs="Times New Roman"/>
          <w:bCs/>
          <w:color w:val="000000"/>
          <w:lang w:eastAsia="da-DK"/>
        </w:rPr>
        <w:t>U-lande</w:t>
      </w:r>
      <w:r w:rsidRPr="00577043">
        <w:rPr>
          <w:rFonts w:eastAsia="Times New Roman" w:cs="Times New Roman"/>
          <w:bCs/>
          <w:color w:val="000000"/>
          <w:lang w:eastAsia="da-DK"/>
        </w:rPr>
        <w:t xml:space="preserve">, og i fremtiden vil et større antal ansøgninger derfor skulle behandles og </w:t>
      </w:r>
      <w:r w:rsidR="00EF7F65">
        <w:rPr>
          <w:rFonts w:eastAsia="Times New Roman" w:cs="Times New Roman"/>
          <w:bCs/>
          <w:color w:val="000000"/>
          <w:lang w:eastAsia="da-DK"/>
        </w:rPr>
        <w:t xml:space="preserve">flere godkendte forsøg </w:t>
      </w:r>
      <w:r w:rsidRPr="00577043">
        <w:rPr>
          <w:rFonts w:eastAsia="Times New Roman" w:cs="Times New Roman"/>
          <w:bCs/>
          <w:color w:val="000000"/>
          <w:lang w:eastAsia="da-DK"/>
        </w:rPr>
        <w:t xml:space="preserve">følges op.  </w:t>
      </w:r>
    </w:p>
    <w:p w14:paraId="0828A95A" w14:textId="77777777" w:rsidR="00A7654F" w:rsidRDefault="00A7654F" w:rsidP="00EF3B6E">
      <w:pPr>
        <w:rPr>
          <w:rFonts w:eastAsia="Times New Roman" w:cs="Times New Roman"/>
          <w:bCs/>
          <w:color w:val="000000"/>
          <w:lang w:eastAsia="da-DK"/>
        </w:rPr>
      </w:pPr>
    </w:p>
    <w:p w14:paraId="1AF598EC" w14:textId="77777777" w:rsidR="00A7654F" w:rsidRDefault="00A7654F" w:rsidP="00EF3B6E">
      <w:pPr>
        <w:rPr>
          <w:rFonts w:eastAsia="Times New Roman" w:cs="Times New Roman"/>
          <w:bCs/>
          <w:color w:val="000000"/>
          <w:lang w:eastAsia="da-DK"/>
        </w:rPr>
      </w:pPr>
      <w:r>
        <w:rPr>
          <w:rFonts w:eastAsia="Times New Roman" w:cs="Times New Roman"/>
          <w:bCs/>
          <w:color w:val="000000"/>
          <w:lang w:eastAsia="da-DK"/>
        </w:rPr>
        <w:t>Fristen for behandlingen af en ansøgning er efter gældende regler 60 dag</w:t>
      </w:r>
      <w:r w:rsidR="00E06012">
        <w:rPr>
          <w:rFonts w:eastAsia="Times New Roman" w:cs="Times New Roman"/>
          <w:bCs/>
          <w:color w:val="000000"/>
          <w:lang w:eastAsia="da-DK"/>
        </w:rPr>
        <w:t>e.</w:t>
      </w:r>
      <w:r>
        <w:rPr>
          <w:rFonts w:eastAsia="Times New Roman" w:cs="Times New Roman"/>
          <w:bCs/>
          <w:color w:val="000000"/>
          <w:lang w:eastAsia="da-DK"/>
        </w:rPr>
        <w:t xml:space="preserve"> </w:t>
      </w:r>
      <w:r w:rsidR="0058651B">
        <w:rPr>
          <w:rFonts w:eastAsia="Times New Roman" w:cs="Times New Roman"/>
          <w:bCs/>
          <w:color w:val="000000"/>
          <w:lang w:eastAsia="da-DK"/>
        </w:rPr>
        <w:t>Lægemiddelstyrelsen</w:t>
      </w:r>
      <w:r>
        <w:rPr>
          <w:rFonts w:eastAsia="Times New Roman" w:cs="Times New Roman"/>
          <w:bCs/>
          <w:color w:val="000000"/>
          <w:lang w:eastAsia="da-DK"/>
        </w:rPr>
        <w:t xml:space="preserve"> har </w:t>
      </w:r>
      <w:r w:rsidR="00E06012">
        <w:rPr>
          <w:rFonts w:eastAsia="Times New Roman" w:cs="Times New Roman"/>
          <w:bCs/>
          <w:color w:val="000000"/>
          <w:lang w:eastAsia="da-DK"/>
        </w:rPr>
        <w:t xml:space="preserve">dog </w:t>
      </w:r>
      <w:r>
        <w:rPr>
          <w:rFonts w:eastAsia="Times New Roman" w:cs="Times New Roman"/>
          <w:bCs/>
          <w:color w:val="000000"/>
          <w:lang w:eastAsia="da-DK"/>
        </w:rPr>
        <w:t>aftalt med lægemiddelindustrien, at første svar</w:t>
      </w:r>
      <w:r w:rsidR="00AA7D31">
        <w:rPr>
          <w:rFonts w:eastAsia="Times New Roman" w:cs="Times New Roman"/>
          <w:bCs/>
          <w:color w:val="000000"/>
          <w:lang w:eastAsia="da-DK"/>
        </w:rPr>
        <w:t xml:space="preserve"> </w:t>
      </w:r>
      <w:r w:rsidR="008647A7">
        <w:rPr>
          <w:rFonts w:eastAsia="Times New Roman" w:cs="Times New Roman"/>
          <w:bCs/>
          <w:color w:val="000000"/>
          <w:lang w:eastAsia="da-DK"/>
        </w:rPr>
        <w:t>om</w:t>
      </w:r>
      <w:r w:rsidR="00AA7D31">
        <w:rPr>
          <w:rFonts w:eastAsia="Times New Roman" w:cs="Times New Roman"/>
          <w:bCs/>
          <w:color w:val="000000"/>
          <w:lang w:eastAsia="da-DK"/>
        </w:rPr>
        <w:t xml:space="preserve"> afgørelse om godkendelse</w:t>
      </w:r>
      <w:r>
        <w:rPr>
          <w:rFonts w:eastAsia="Times New Roman" w:cs="Times New Roman"/>
          <w:bCs/>
          <w:color w:val="000000"/>
          <w:lang w:eastAsia="da-DK"/>
        </w:rPr>
        <w:t xml:space="preserve"> skal være sponsor i hænde senest 42 kalenderdage efter modtagelse af en behørigt udformet ansøgning. I 2014 besvarede </w:t>
      </w:r>
      <w:r w:rsidR="0058651B">
        <w:rPr>
          <w:rFonts w:eastAsia="Times New Roman" w:cs="Times New Roman"/>
          <w:bCs/>
          <w:color w:val="000000"/>
          <w:lang w:eastAsia="da-DK"/>
        </w:rPr>
        <w:t>Lægemiddelstyrelsen</w:t>
      </w:r>
      <w:r>
        <w:rPr>
          <w:rFonts w:eastAsia="Times New Roman" w:cs="Times New Roman"/>
          <w:bCs/>
          <w:color w:val="000000"/>
          <w:lang w:eastAsia="da-DK"/>
        </w:rPr>
        <w:t xml:space="preserve"> 91 % af alle ansøgninger indenfor 42 dage, og 99 %</w:t>
      </w:r>
      <w:r w:rsidR="00E06012">
        <w:rPr>
          <w:rFonts w:eastAsia="Times New Roman" w:cs="Times New Roman"/>
          <w:bCs/>
          <w:color w:val="000000"/>
          <w:lang w:eastAsia="da-DK"/>
        </w:rPr>
        <w:t xml:space="preserve"> af ansøgningerne</w:t>
      </w:r>
      <w:r>
        <w:rPr>
          <w:rFonts w:eastAsia="Times New Roman" w:cs="Times New Roman"/>
          <w:bCs/>
          <w:color w:val="000000"/>
          <w:lang w:eastAsia="da-DK"/>
        </w:rPr>
        <w:t xml:space="preserve"> blev besvaret inden for 60 dage.</w:t>
      </w:r>
      <w:r w:rsidR="00BE7958">
        <w:rPr>
          <w:rFonts w:eastAsia="Times New Roman" w:cs="Times New Roman"/>
          <w:bCs/>
          <w:color w:val="000000"/>
          <w:lang w:eastAsia="da-DK"/>
        </w:rPr>
        <w:t xml:space="preserve"> </w:t>
      </w:r>
      <w:r w:rsidR="00F8471E">
        <w:rPr>
          <w:rFonts w:eastAsia="Times New Roman" w:cs="Times New Roman"/>
          <w:bCs/>
          <w:color w:val="000000"/>
          <w:lang w:eastAsia="da-DK"/>
        </w:rPr>
        <w:t xml:space="preserve">De fire regioner samt DNVK, som har opgjort sagsbehandlingstiden i 2014, har </w:t>
      </w:r>
      <w:r w:rsidR="007F47C8">
        <w:rPr>
          <w:rFonts w:eastAsia="Times New Roman" w:cs="Times New Roman"/>
          <w:bCs/>
          <w:color w:val="000000"/>
          <w:lang w:eastAsia="da-DK"/>
        </w:rPr>
        <w:t>for</w:t>
      </w:r>
      <w:r w:rsidR="00F8471E">
        <w:rPr>
          <w:rFonts w:eastAsia="Times New Roman" w:cs="Times New Roman"/>
          <w:bCs/>
          <w:color w:val="000000"/>
          <w:lang w:eastAsia="da-DK"/>
        </w:rPr>
        <w:t xml:space="preserve"> 92 % af ansøgningerne </w:t>
      </w:r>
      <w:r w:rsidR="007F47C8">
        <w:rPr>
          <w:rFonts w:eastAsia="Times New Roman" w:cs="Times New Roman"/>
          <w:bCs/>
          <w:color w:val="000000"/>
          <w:lang w:eastAsia="da-DK"/>
        </w:rPr>
        <w:t xml:space="preserve">truffet afgørelse </w:t>
      </w:r>
      <w:r w:rsidR="00F8471E">
        <w:rPr>
          <w:rFonts w:eastAsia="Times New Roman" w:cs="Times New Roman"/>
          <w:bCs/>
          <w:color w:val="000000"/>
          <w:lang w:eastAsia="da-DK"/>
        </w:rPr>
        <w:t xml:space="preserve">inden for 60 dage. </w:t>
      </w:r>
      <w:r w:rsidR="007F47C8">
        <w:rPr>
          <w:rFonts w:eastAsia="Times New Roman" w:cs="Times New Roman"/>
          <w:bCs/>
          <w:color w:val="000000"/>
          <w:lang w:eastAsia="da-DK"/>
        </w:rPr>
        <w:t>Ifølge forordningen vil fristen for den samlede sagsbehandlingstid fortsat være 60 dage. Da behandlingen af ansøgninger imidlertid skal koordineres mellem alle de lande, som et forsøg ønskes gennemført i, er der fastsat en række kortede tidsfrister for delelementer af sagsbehandlingen, jf. afsnit 2.2.2.</w:t>
      </w:r>
      <w:r w:rsidR="0022713F">
        <w:rPr>
          <w:rFonts w:eastAsia="Times New Roman" w:cs="Times New Roman"/>
          <w:bCs/>
          <w:color w:val="000000"/>
          <w:lang w:eastAsia="da-DK"/>
        </w:rPr>
        <w:t xml:space="preserve"> Endvidere vil kravet om koordinerede afgørelser fra </w:t>
      </w:r>
      <w:r w:rsidR="0058651B">
        <w:rPr>
          <w:rFonts w:eastAsia="Times New Roman" w:cs="Times New Roman"/>
          <w:bCs/>
          <w:color w:val="000000"/>
          <w:lang w:eastAsia="da-DK"/>
        </w:rPr>
        <w:t>Lægemiddelstyrelsen</w:t>
      </w:r>
      <w:r w:rsidR="0022713F">
        <w:rPr>
          <w:rFonts w:eastAsia="Times New Roman" w:cs="Times New Roman"/>
          <w:bCs/>
          <w:color w:val="000000"/>
          <w:lang w:eastAsia="da-DK"/>
        </w:rPr>
        <w:t xml:space="preserve"> og komitésystemet desuden medføre, at fristerne for hhv. styrelsens og komiteernes </w:t>
      </w:r>
      <w:r w:rsidR="004F0DED">
        <w:rPr>
          <w:rFonts w:eastAsia="Times New Roman" w:cs="Times New Roman"/>
          <w:bCs/>
          <w:color w:val="000000"/>
          <w:lang w:eastAsia="da-DK"/>
        </w:rPr>
        <w:t>sagsbehandling vil blive meget korte</w:t>
      </w:r>
      <w:r w:rsidR="0022713F">
        <w:rPr>
          <w:rFonts w:eastAsia="Times New Roman" w:cs="Times New Roman"/>
          <w:bCs/>
          <w:color w:val="000000"/>
          <w:lang w:eastAsia="da-DK"/>
        </w:rPr>
        <w:t>.</w:t>
      </w:r>
    </w:p>
    <w:p w14:paraId="5AF84430" w14:textId="77777777" w:rsidR="00A7654F" w:rsidRPr="00577043" w:rsidRDefault="00A7654F" w:rsidP="00EF3B6E">
      <w:pPr>
        <w:rPr>
          <w:rFonts w:eastAsia="Times New Roman" w:cs="Times New Roman"/>
          <w:bCs/>
          <w:color w:val="000000"/>
          <w:lang w:eastAsia="da-DK"/>
        </w:rPr>
      </w:pPr>
    </w:p>
    <w:p w14:paraId="015CD6F5" w14:textId="77777777" w:rsidR="006B6DA4" w:rsidRPr="006B6DA4" w:rsidRDefault="00E25D02" w:rsidP="00214725">
      <w:pPr>
        <w:pStyle w:val="Overskrift5"/>
        <w:rPr>
          <w:rFonts w:eastAsia="Times New Roman"/>
          <w:lang w:eastAsia="da-DK"/>
        </w:rPr>
      </w:pPr>
      <w:r>
        <w:rPr>
          <w:rFonts w:eastAsia="Times New Roman"/>
          <w:lang w:eastAsia="da-DK"/>
        </w:rPr>
        <w:t xml:space="preserve">1.8. </w:t>
      </w:r>
      <w:r w:rsidR="006B6DA4">
        <w:rPr>
          <w:rFonts w:eastAsia="Times New Roman"/>
          <w:lang w:eastAsia="da-DK"/>
        </w:rPr>
        <w:t xml:space="preserve">Grundlag </w:t>
      </w:r>
      <w:r>
        <w:rPr>
          <w:rFonts w:eastAsia="Times New Roman"/>
          <w:lang w:eastAsia="da-DK"/>
        </w:rPr>
        <w:t>for lov</w:t>
      </w:r>
      <w:r w:rsidR="006B6DA4">
        <w:rPr>
          <w:rFonts w:eastAsia="Times New Roman"/>
          <w:lang w:eastAsia="da-DK"/>
        </w:rPr>
        <w:t>ændringer</w:t>
      </w:r>
    </w:p>
    <w:p w14:paraId="61AF2F99" w14:textId="77777777" w:rsidR="00EF3B6E" w:rsidRPr="00577043" w:rsidRDefault="00EF3B6E" w:rsidP="00EF3B6E">
      <w:pPr>
        <w:rPr>
          <w:rFonts w:eastAsia="Times New Roman" w:cs="Times New Roman"/>
          <w:bCs/>
          <w:color w:val="000000"/>
          <w:lang w:eastAsia="da-DK"/>
        </w:rPr>
      </w:pPr>
      <w:r w:rsidRPr="00577043">
        <w:rPr>
          <w:rFonts w:eastAsia="Times New Roman" w:cs="Times New Roman"/>
          <w:bCs/>
          <w:color w:val="000000"/>
          <w:lang w:eastAsia="da-DK"/>
        </w:rPr>
        <w:t>De danske regler om kliniske forsøg med lægemidler til mennesker erstattes som udgangspunkt af forordningen. Dog er de administrative rammer for medlemsstaternes behandling af ansøgning m</w:t>
      </w:r>
      <w:r w:rsidR="00094421">
        <w:rPr>
          <w:rFonts w:eastAsia="Times New Roman" w:cs="Times New Roman"/>
          <w:bCs/>
          <w:color w:val="000000"/>
          <w:lang w:eastAsia="da-DK"/>
        </w:rPr>
        <w:t>.</w:t>
      </w:r>
      <w:r w:rsidRPr="00577043">
        <w:rPr>
          <w:rFonts w:eastAsia="Times New Roman" w:cs="Times New Roman"/>
          <w:bCs/>
          <w:color w:val="000000"/>
          <w:lang w:eastAsia="da-DK"/>
        </w:rPr>
        <w:t xml:space="preserve">v. ikke </w:t>
      </w:r>
      <w:r w:rsidR="007F6048">
        <w:rPr>
          <w:rFonts w:eastAsia="Times New Roman" w:cs="Times New Roman"/>
          <w:bCs/>
          <w:color w:val="000000"/>
          <w:lang w:eastAsia="da-DK"/>
        </w:rPr>
        <w:t>reguleret</w:t>
      </w:r>
      <w:r w:rsidRPr="00577043">
        <w:rPr>
          <w:rFonts w:eastAsia="Times New Roman" w:cs="Times New Roman"/>
          <w:bCs/>
          <w:color w:val="000000"/>
          <w:lang w:eastAsia="da-DK"/>
        </w:rPr>
        <w:t xml:space="preserve"> i forordningen. Der skal </w:t>
      </w:r>
      <w:r w:rsidR="000156C6" w:rsidRPr="00577043">
        <w:rPr>
          <w:rFonts w:eastAsia="Times New Roman" w:cs="Times New Roman"/>
          <w:bCs/>
          <w:color w:val="000000"/>
          <w:lang w:eastAsia="da-DK"/>
        </w:rPr>
        <w:t xml:space="preserve">derfor </w:t>
      </w:r>
      <w:r w:rsidRPr="00577043">
        <w:rPr>
          <w:rFonts w:eastAsia="Times New Roman" w:cs="Times New Roman"/>
          <w:bCs/>
          <w:color w:val="000000"/>
          <w:lang w:eastAsia="da-DK"/>
        </w:rPr>
        <w:t xml:space="preserve">fastsættes bestemmelser om henholdsvis </w:t>
      </w:r>
      <w:r w:rsidR="0058651B">
        <w:rPr>
          <w:rFonts w:eastAsia="Times New Roman" w:cs="Times New Roman"/>
          <w:bCs/>
          <w:color w:val="000000"/>
          <w:lang w:eastAsia="da-DK"/>
        </w:rPr>
        <w:t>Lægemiddelstyrelsen</w:t>
      </w:r>
      <w:r w:rsidRPr="00577043">
        <w:rPr>
          <w:rFonts w:eastAsia="Times New Roman" w:cs="Times New Roman"/>
          <w:bCs/>
          <w:color w:val="000000"/>
          <w:lang w:eastAsia="da-DK"/>
        </w:rPr>
        <w:t>s og de</w:t>
      </w:r>
      <w:r w:rsidR="0046764A" w:rsidRPr="00577043">
        <w:rPr>
          <w:rFonts w:eastAsia="Times New Roman" w:cs="Times New Roman"/>
          <w:bCs/>
          <w:color w:val="000000"/>
          <w:lang w:eastAsia="da-DK"/>
        </w:rPr>
        <w:t>t videnskabsetiske komitésystem</w:t>
      </w:r>
      <w:r w:rsidRPr="00577043">
        <w:rPr>
          <w:rFonts w:eastAsia="Times New Roman" w:cs="Times New Roman"/>
          <w:bCs/>
          <w:color w:val="000000"/>
          <w:lang w:eastAsia="da-DK"/>
        </w:rPr>
        <w:t>s varetagelse af ansøgninger om lægemiddelforsø</w:t>
      </w:r>
      <w:r w:rsidR="00B35F2C">
        <w:rPr>
          <w:rFonts w:eastAsia="Times New Roman" w:cs="Times New Roman"/>
          <w:bCs/>
          <w:color w:val="000000"/>
          <w:lang w:eastAsia="da-DK"/>
        </w:rPr>
        <w:t>g</w:t>
      </w:r>
      <w:r w:rsidRPr="00577043">
        <w:rPr>
          <w:rFonts w:eastAsia="Times New Roman" w:cs="Times New Roman"/>
          <w:bCs/>
          <w:color w:val="000000"/>
          <w:lang w:eastAsia="da-DK"/>
        </w:rPr>
        <w:t xml:space="preserve">. Der skal endvidere fastsættes </w:t>
      </w:r>
      <w:r w:rsidR="008D3343" w:rsidRPr="00577043">
        <w:rPr>
          <w:rFonts w:eastAsia="Times New Roman" w:cs="Times New Roman"/>
          <w:bCs/>
          <w:color w:val="000000"/>
          <w:lang w:eastAsia="da-DK"/>
        </w:rPr>
        <w:t xml:space="preserve">en række supplerende </w:t>
      </w:r>
      <w:r w:rsidRPr="00577043">
        <w:rPr>
          <w:rFonts w:eastAsia="Times New Roman" w:cs="Times New Roman"/>
          <w:bCs/>
          <w:color w:val="000000"/>
          <w:lang w:eastAsia="da-DK"/>
        </w:rPr>
        <w:t>bestemmelser</w:t>
      </w:r>
      <w:r w:rsidR="00B35F2C">
        <w:rPr>
          <w:rFonts w:eastAsia="Times New Roman" w:cs="Times New Roman"/>
          <w:bCs/>
          <w:color w:val="000000"/>
          <w:lang w:eastAsia="da-DK"/>
        </w:rPr>
        <w:t xml:space="preserve"> </w:t>
      </w:r>
      <w:r w:rsidR="008647A7">
        <w:rPr>
          <w:rFonts w:eastAsia="Times New Roman" w:cs="Times New Roman"/>
          <w:bCs/>
          <w:color w:val="000000"/>
          <w:lang w:eastAsia="da-DK"/>
        </w:rPr>
        <w:t>om</w:t>
      </w:r>
      <w:r w:rsidR="00E14208" w:rsidRPr="00577043">
        <w:rPr>
          <w:rFonts w:eastAsia="Times New Roman" w:cs="Times New Roman"/>
          <w:bCs/>
          <w:color w:val="000000"/>
          <w:lang w:eastAsia="da-DK"/>
        </w:rPr>
        <w:t xml:space="preserve"> </w:t>
      </w:r>
      <w:r w:rsidR="00B35F2C">
        <w:rPr>
          <w:rFonts w:eastAsia="Times New Roman" w:cs="Times New Roman"/>
          <w:bCs/>
          <w:color w:val="000000"/>
          <w:lang w:eastAsia="da-DK"/>
        </w:rPr>
        <w:t xml:space="preserve">bl.a. </w:t>
      </w:r>
      <w:r w:rsidR="008D3343" w:rsidRPr="00577043">
        <w:rPr>
          <w:rFonts w:eastAsia="Times New Roman" w:cs="Times New Roman"/>
          <w:bCs/>
          <w:color w:val="000000"/>
          <w:lang w:eastAsia="da-DK"/>
        </w:rPr>
        <w:t xml:space="preserve">stedfortrædende samtykke, </w:t>
      </w:r>
      <w:r w:rsidRPr="00577043">
        <w:rPr>
          <w:rFonts w:eastAsia="Times New Roman" w:cs="Times New Roman"/>
          <w:bCs/>
          <w:color w:val="000000"/>
          <w:lang w:eastAsia="da-DK"/>
        </w:rPr>
        <w:t>opfølgning på forsøg</w:t>
      </w:r>
      <w:r w:rsidR="008D3343" w:rsidRPr="00577043">
        <w:rPr>
          <w:rFonts w:eastAsia="Times New Roman" w:cs="Times New Roman"/>
          <w:bCs/>
          <w:color w:val="000000"/>
          <w:lang w:eastAsia="da-DK"/>
        </w:rPr>
        <w:t xml:space="preserve"> (</w:t>
      </w:r>
      <w:r w:rsidR="00974B7A">
        <w:rPr>
          <w:rFonts w:eastAsia="Times New Roman" w:cs="Times New Roman"/>
          <w:bCs/>
          <w:color w:val="000000"/>
          <w:lang w:eastAsia="da-DK"/>
        </w:rPr>
        <w:t>kontrol</w:t>
      </w:r>
      <w:r w:rsidR="008D3343" w:rsidRPr="00577043">
        <w:rPr>
          <w:rFonts w:eastAsia="Times New Roman" w:cs="Times New Roman"/>
          <w:bCs/>
          <w:color w:val="000000"/>
          <w:lang w:eastAsia="da-DK"/>
        </w:rPr>
        <w:t xml:space="preserve"> og inspektioner)</w:t>
      </w:r>
      <w:r w:rsidR="00E14208" w:rsidRPr="00577043">
        <w:rPr>
          <w:rFonts w:eastAsia="Times New Roman" w:cs="Times New Roman"/>
          <w:bCs/>
          <w:color w:val="000000"/>
          <w:lang w:eastAsia="da-DK"/>
        </w:rPr>
        <w:t>, finansiering af udgifterne til behandling af ansøgninger,</w:t>
      </w:r>
      <w:r w:rsidRPr="00577043">
        <w:rPr>
          <w:rFonts w:eastAsia="Times New Roman" w:cs="Times New Roman"/>
          <w:bCs/>
          <w:color w:val="000000"/>
          <w:lang w:eastAsia="da-DK"/>
        </w:rPr>
        <w:t xml:space="preserve"> </w:t>
      </w:r>
      <w:r w:rsidR="002D3CE3" w:rsidRPr="00577043">
        <w:rPr>
          <w:rFonts w:eastAsia="Times New Roman" w:cs="Times New Roman"/>
          <w:bCs/>
          <w:color w:val="000000"/>
          <w:lang w:eastAsia="da-DK"/>
        </w:rPr>
        <w:t>appelmulighed</w:t>
      </w:r>
      <w:r w:rsidR="008D3343" w:rsidRPr="00577043">
        <w:rPr>
          <w:rFonts w:eastAsia="Times New Roman" w:cs="Times New Roman"/>
          <w:bCs/>
          <w:color w:val="000000"/>
          <w:lang w:eastAsia="da-DK"/>
        </w:rPr>
        <w:t xml:space="preserve"> </w:t>
      </w:r>
      <w:r w:rsidR="002D3CE3" w:rsidRPr="00577043">
        <w:rPr>
          <w:rFonts w:eastAsia="Times New Roman" w:cs="Times New Roman"/>
          <w:bCs/>
          <w:color w:val="000000"/>
          <w:lang w:eastAsia="da-DK"/>
        </w:rPr>
        <w:t xml:space="preserve">for sponsor samt </w:t>
      </w:r>
      <w:r w:rsidR="00B35F2C">
        <w:rPr>
          <w:rFonts w:eastAsia="Times New Roman" w:cs="Times New Roman"/>
          <w:bCs/>
          <w:color w:val="000000"/>
          <w:lang w:eastAsia="da-DK"/>
        </w:rPr>
        <w:t xml:space="preserve">bestemmelser </w:t>
      </w:r>
      <w:r w:rsidR="008647A7">
        <w:rPr>
          <w:rFonts w:eastAsia="Times New Roman" w:cs="Times New Roman"/>
          <w:bCs/>
          <w:color w:val="000000"/>
          <w:lang w:eastAsia="da-DK"/>
        </w:rPr>
        <w:t>om</w:t>
      </w:r>
      <w:r w:rsidR="00B35F2C">
        <w:rPr>
          <w:rFonts w:eastAsia="Times New Roman" w:cs="Times New Roman"/>
          <w:bCs/>
          <w:color w:val="000000"/>
          <w:lang w:eastAsia="da-DK"/>
        </w:rPr>
        <w:t xml:space="preserve"> </w:t>
      </w:r>
      <w:r w:rsidR="00B53A8E" w:rsidRPr="00577043">
        <w:rPr>
          <w:rFonts w:eastAsia="Times New Roman" w:cs="Times New Roman"/>
          <w:bCs/>
          <w:color w:val="000000"/>
          <w:lang w:eastAsia="da-DK"/>
        </w:rPr>
        <w:t>sanktioner</w:t>
      </w:r>
      <w:r w:rsidRPr="00577043">
        <w:rPr>
          <w:rFonts w:eastAsia="Times New Roman" w:cs="Times New Roman"/>
          <w:bCs/>
          <w:color w:val="000000"/>
          <w:lang w:eastAsia="da-DK"/>
        </w:rPr>
        <w:t>.</w:t>
      </w:r>
    </w:p>
    <w:p w14:paraId="18C1DC13" w14:textId="77777777" w:rsidR="00071B39" w:rsidRPr="00577043" w:rsidRDefault="00071B39" w:rsidP="00CB2276">
      <w:pPr>
        <w:rPr>
          <w:rFonts w:eastAsia="Times New Roman" w:cs="Times New Roman"/>
          <w:bCs/>
          <w:color w:val="000000"/>
          <w:lang w:eastAsia="da-DK"/>
        </w:rPr>
      </w:pPr>
    </w:p>
    <w:p w14:paraId="60247B86" w14:textId="77777777" w:rsidR="003B7C26" w:rsidRPr="00577043" w:rsidRDefault="003B7C26" w:rsidP="00CB2276">
      <w:pPr>
        <w:rPr>
          <w:rFonts w:eastAsia="Times New Roman" w:cs="Times New Roman"/>
          <w:bCs/>
          <w:color w:val="000000"/>
          <w:lang w:eastAsia="da-DK"/>
        </w:rPr>
      </w:pPr>
      <w:r w:rsidRPr="00577043">
        <w:rPr>
          <w:rFonts w:eastAsia="Times New Roman" w:cs="Times New Roman"/>
          <w:bCs/>
          <w:color w:val="000000"/>
          <w:lang w:eastAsia="da-DK"/>
        </w:rPr>
        <w:t xml:space="preserve">Med </w:t>
      </w:r>
      <w:r w:rsidR="00465E4F" w:rsidRPr="00577043">
        <w:rPr>
          <w:rFonts w:eastAsia="Times New Roman" w:cs="Times New Roman"/>
          <w:bCs/>
          <w:color w:val="000000"/>
          <w:lang w:eastAsia="da-DK"/>
        </w:rPr>
        <w:t>lov</w:t>
      </w:r>
      <w:r w:rsidRPr="00577043">
        <w:rPr>
          <w:rFonts w:eastAsia="Times New Roman" w:cs="Times New Roman"/>
          <w:bCs/>
          <w:color w:val="000000"/>
          <w:lang w:eastAsia="da-DK"/>
        </w:rPr>
        <w:t>forslag</w:t>
      </w:r>
      <w:r w:rsidR="00F9242C" w:rsidRPr="00577043">
        <w:rPr>
          <w:rFonts w:eastAsia="Times New Roman" w:cs="Times New Roman"/>
          <w:bCs/>
          <w:color w:val="000000"/>
          <w:lang w:eastAsia="da-DK"/>
        </w:rPr>
        <w:t>et</w:t>
      </w:r>
      <w:r w:rsidRPr="00577043">
        <w:rPr>
          <w:rFonts w:eastAsia="Times New Roman" w:cs="Times New Roman"/>
          <w:bCs/>
          <w:color w:val="000000"/>
          <w:lang w:eastAsia="da-DK"/>
        </w:rPr>
        <w:t xml:space="preserve"> samles bestemmelserne om lægemiddelforsøg, som ifølge gældende ret er </w:t>
      </w:r>
      <w:r w:rsidR="00B35F2C">
        <w:rPr>
          <w:rFonts w:eastAsia="Times New Roman" w:cs="Times New Roman"/>
          <w:bCs/>
          <w:color w:val="000000"/>
          <w:lang w:eastAsia="da-DK"/>
        </w:rPr>
        <w:t xml:space="preserve">fastsat i hhv. </w:t>
      </w:r>
      <w:r w:rsidR="00BD6932" w:rsidRPr="00577043">
        <w:rPr>
          <w:rFonts w:eastAsia="Times New Roman" w:cs="Times New Roman"/>
          <w:bCs/>
          <w:color w:val="000000"/>
          <w:lang w:eastAsia="da-DK"/>
        </w:rPr>
        <w:t>lægemiddellove</w:t>
      </w:r>
      <w:r w:rsidR="00B35F2C">
        <w:rPr>
          <w:rFonts w:eastAsia="Times New Roman" w:cs="Times New Roman"/>
          <w:bCs/>
          <w:color w:val="000000"/>
          <w:lang w:eastAsia="da-DK"/>
        </w:rPr>
        <w:t xml:space="preserve">n </w:t>
      </w:r>
      <w:r w:rsidR="00BD6932" w:rsidRPr="00577043">
        <w:rPr>
          <w:rFonts w:eastAsia="Times New Roman" w:cs="Times New Roman"/>
          <w:bCs/>
          <w:color w:val="000000"/>
          <w:lang w:eastAsia="da-DK"/>
        </w:rPr>
        <w:t>og</w:t>
      </w:r>
      <w:r w:rsidRPr="00577043">
        <w:rPr>
          <w:rFonts w:eastAsia="Times New Roman" w:cs="Times New Roman"/>
          <w:bCs/>
          <w:color w:val="000000"/>
          <w:lang w:eastAsia="da-DK"/>
        </w:rPr>
        <w:t xml:space="preserve"> </w:t>
      </w:r>
      <w:r w:rsidR="00B35F2C">
        <w:rPr>
          <w:rFonts w:eastAsia="Times New Roman" w:cs="Times New Roman"/>
          <w:bCs/>
          <w:color w:val="000000"/>
          <w:lang w:eastAsia="da-DK"/>
        </w:rPr>
        <w:t>komitéloven,</w:t>
      </w:r>
      <w:r w:rsidR="00F9242C" w:rsidRPr="00577043">
        <w:rPr>
          <w:rFonts w:eastAsia="Times New Roman" w:cs="Times New Roman"/>
          <w:bCs/>
          <w:color w:val="000000"/>
          <w:lang w:eastAsia="da-DK"/>
        </w:rPr>
        <w:t xml:space="preserve"> i en enkelt lov</w:t>
      </w:r>
      <w:r w:rsidR="001705F1" w:rsidRPr="00577043">
        <w:rPr>
          <w:rFonts w:eastAsia="Times New Roman" w:cs="Times New Roman"/>
          <w:bCs/>
          <w:color w:val="000000"/>
          <w:lang w:eastAsia="da-DK"/>
        </w:rPr>
        <w:t xml:space="preserve">, </w:t>
      </w:r>
      <w:r w:rsidR="00B35F2C">
        <w:rPr>
          <w:rFonts w:eastAsia="Times New Roman" w:cs="Times New Roman"/>
          <w:bCs/>
          <w:color w:val="000000"/>
          <w:lang w:eastAsia="da-DK"/>
        </w:rPr>
        <w:t xml:space="preserve">der skal </w:t>
      </w:r>
      <w:r w:rsidR="001705F1" w:rsidRPr="00577043">
        <w:rPr>
          <w:rFonts w:eastAsia="Times New Roman" w:cs="Times New Roman"/>
          <w:bCs/>
          <w:color w:val="000000"/>
          <w:lang w:eastAsia="da-DK"/>
        </w:rPr>
        <w:t>supplere forordningen</w:t>
      </w:r>
      <w:r w:rsidRPr="00577043">
        <w:rPr>
          <w:rFonts w:eastAsia="Times New Roman" w:cs="Times New Roman"/>
          <w:bCs/>
          <w:color w:val="000000"/>
          <w:lang w:eastAsia="da-DK"/>
        </w:rPr>
        <w:t xml:space="preserve">. </w:t>
      </w:r>
      <w:r w:rsidR="00465E4F" w:rsidRPr="00577043">
        <w:rPr>
          <w:rFonts w:eastAsia="Times New Roman" w:cs="Times New Roman"/>
          <w:bCs/>
          <w:color w:val="000000"/>
          <w:lang w:eastAsia="da-DK"/>
        </w:rPr>
        <w:t xml:space="preserve">Det foreslås i den forbindelse også at overføre </w:t>
      </w:r>
      <w:r w:rsidRPr="00577043">
        <w:rPr>
          <w:rFonts w:eastAsia="Times New Roman" w:cs="Times New Roman"/>
          <w:bCs/>
          <w:color w:val="000000"/>
          <w:lang w:eastAsia="da-DK"/>
        </w:rPr>
        <w:t>bestemmelser om forsøg på d</w:t>
      </w:r>
      <w:r w:rsidR="00F9242C" w:rsidRPr="00577043">
        <w:rPr>
          <w:rFonts w:eastAsia="Times New Roman" w:cs="Times New Roman"/>
          <w:bCs/>
          <w:color w:val="000000"/>
          <w:lang w:eastAsia="da-DK"/>
        </w:rPr>
        <w:t>yr</w:t>
      </w:r>
      <w:r w:rsidR="00465E4F" w:rsidRPr="00577043">
        <w:rPr>
          <w:rFonts w:eastAsia="Times New Roman" w:cs="Times New Roman"/>
          <w:bCs/>
          <w:color w:val="000000"/>
          <w:lang w:eastAsia="da-DK"/>
        </w:rPr>
        <w:t xml:space="preserve"> fra lov om lægemidler, således at </w:t>
      </w:r>
      <w:r w:rsidR="00B35F2C">
        <w:rPr>
          <w:rFonts w:eastAsia="Times New Roman" w:cs="Times New Roman"/>
          <w:bCs/>
          <w:color w:val="000000"/>
          <w:lang w:eastAsia="da-DK"/>
        </w:rPr>
        <w:t>de primære danske regler, som vedrører kliniske forsøg med lægemidler,</w:t>
      </w:r>
      <w:r w:rsidR="00465E4F" w:rsidRPr="00577043">
        <w:rPr>
          <w:rFonts w:eastAsia="Times New Roman" w:cs="Times New Roman"/>
          <w:bCs/>
          <w:color w:val="000000"/>
          <w:lang w:eastAsia="da-DK"/>
        </w:rPr>
        <w:t xml:space="preserve"> er samlet i </w:t>
      </w:r>
      <w:r w:rsidR="00B35F2C">
        <w:rPr>
          <w:rFonts w:eastAsia="Times New Roman" w:cs="Times New Roman"/>
          <w:bCs/>
          <w:color w:val="000000"/>
          <w:lang w:eastAsia="da-DK"/>
        </w:rPr>
        <w:t>en enkelt</w:t>
      </w:r>
      <w:r w:rsidR="00465E4F" w:rsidRPr="00577043">
        <w:rPr>
          <w:rFonts w:eastAsia="Times New Roman" w:cs="Times New Roman"/>
          <w:bCs/>
          <w:color w:val="000000"/>
          <w:lang w:eastAsia="da-DK"/>
        </w:rPr>
        <w:t xml:space="preserve"> lov</w:t>
      </w:r>
      <w:r w:rsidRPr="00577043">
        <w:rPr>
          <w:rFonts w:eastAsia="Times New Roman" w:cs="Times New Roman"/>
          <w:bCs/>
          <w:color w:val="000000"/>
          <w:lang w:eastAsia="da-DK"/>
        </w:rPr>
        <w:t>.</w:t>
      </w:r>
    </w:p>
    <w:p w14:paraId="72A3AD7A" w14:textId="77777777" w:rsidR="00D9514A" w:rsidRPr="00577043" w:rsidRDefault="003B7C26" w:rsidP="00CB2276">
      <w:pPr>
        <w:rPr>
          <w:rFonts w:eastAsia="Times New Roman" w:cs="Times New Roman"/>
          <w:bCs/>
          <w:color w:val="000000"/>
          <w:lang w:eastAsia="da-DK"/>
        </w:rPr>
      </w:pPr>
      <w:r w:rsidRPr="00577043">
        <w:rPr>
          <w:rFonts w:eastAsia="Times New Roman" w:cs="Times New Roman"/>
          <w:bCs/>
          <w:color w:val="000000"/>
          <w:lang w:eastAsia="da-DK"/>
        </w:rPr>
        <w:t xml:space="preserve"> </w:t>
      </w:r>
    </w:p>
    <w:p w14:paraId="0C430D72" w14:textId="77777777" w:rsidR="00DD6B77" w:rsidRPr="00577043" w:rsidRDefault="00DD6B77" w:rsidP="00CB2276">
      <w:pPr>
        <w:rPr>
          <w:rFonts w:eastAsia="Times New Roman" w:cs="Times New Roman"/>
          <w:bCs/>
          <w:color w:val="000000"/>
          <w:lang w:eastAsia="da-DK"/>
        </w:rPr>
      </w:pPr>
    </w:p>
    <w:p w14:paraId="03678617" w14:textId="77777777" w:rsidR="00607ABC" w:rsidRPr="00577043" w:rsidRDefault="00607ABC" w:rsidP="007F71D8">
      <w:pPr>
        <w:pStyle w:val="Overskrift2"/>
        <w:rPr>
          <w:rFonts w:eastAsia="Times New Roman" w:cs="Times New Roman"/>
          <w:lang w:eastAsia="da-DK"/>
        </w:rPr>
      </w:pPr>
      <w:r w:rsidRPr="00577043">
        <w:rPr>
          <w:rFonts w:eastAsia="Times New Roman" w:cs="Times New Roman"/>
          <w:lang w:eastAsia="da-DK"/>
        </w:rPr>
        <w:t>2. Lovforslagets hovedindhold</w:t>
      </w:r>
    </w:p>
    <w:p w14:paraId="358FD242" w14:textId="77777777" w:rsidR="00607ABC" w:rsidRPr="00577043" w:rsidRDefault="00607ABC" w:rsidP="007F71D8">
      <w:pPr>
        <w:keepNext/>
        <w:keepLines/>
        <w:rPr>
          <w:rFonts w:eastAsia="Times New Roman" w:cs="Times New Roman"/>
          <w:b/>
          <w:bCs/>
          <w:color w:val="000000"/>
          <w:lang w:eastAsia="da-DK"/>
        </w:rPr>
      </w:pPr>
    </w:p>
    <w:p w14:paraId="698206C4" w14:textId="77777777" w:rsidR="008841F4" w:rsidRPr="00577043" w:rsidRDefault="008841F4" w:rsidP="007F71D8">
      <w:pPr>
        <w:keepNext/>
        <w:keepLines/>
        <w:rPr>
          <w:rFonts w:eastAsia="Times New Roman" w:cs="Times New Roman"/>
          <w:bCs/>
          <w:color w:val="000000"/>
          <w:lang w:eastAsia="da-DK"/>
        </w:rPr>
      </w:pPr>
    </w:p>
    <w:p w14:paraId="3C4A7069" w14:textId="77777777" w:rsidR="003465C7" w:rsidRPr="00577043" w:rsidRDefault="003465C7" w:rsidP="003465C7">
      <w:pPr>
        <w:jc w:val="center"/>
        <w:rPr>
          <w:rFonts w:eastAsia="Times New Roman" w:cs="Times New Roman"/>
          <w:i/>
          <w:iCs/>
          <w:color w:val="000000"/>
          <w:lang w:eastAsia="da-DK"/>
        </w:rPr>
      </w:pPr>
      <w:r w:rsidRPr="00577043">
        <w:rPr>
          <w:rFonts w:eastAsia="Times New Roman" w:cs="Times New Roman"/>
          <w:i/>
          <w:iCs/>
          <w:color w:val="000000"/>
          <w:lang w:eastAsia="da-DK"/>
        </w:rPr>
        <w:t>Bemærkninger til lovforslaget</w:t>
      </w:r>
    </w:p>
    <w:p w14:paraId="0EC73281" w14:textId="77777777" w:rsidR="003465C7" w:rsidRPr="00577043" w:rsidRDefault="003465C7" w:rsidP="003465C7">
      <w:pPr>
        <w:jc w:val="center"/>
        <w:rPr>
          <w:rFonts w:eastAsia="Times New Roman" w:cs="Times New Roman"/>
          <w:i/>
          <w:iCs/>
          <w:color w:val="000000"/>
          <w:lang w:eastAsia="da-DK"/>
        </w:rPr>
      </w:pPr>
    </w:p>
    <w:p w14:paraId="0AE947D9" w14:textId="77777777" w:rsidR="003465C7" w:rsidRPr="00577043" w:rsidRDefault="003465C7" w:rsidP="003465C7">
      <w:pPr>
        <w:jc w:val="center"/>
        <w:rPr>
          <w:rFonts w:eastAsia="Times New Roman" w:cs="Times New Roman"/>
          <w:i/>
          <w:iCs/>
          <w:color w:val="000000"/>
          <w:lang w:eastAsia="da-DK"/>
        </w:rPr>
      </w:pPr>
    </w:p>
    <w:p w14:paraId="32760029" w14:textId="77777777" w:rsidR="00402351" w:rsidRPr="00577043" w:rsidRDefault="00FE4D89" w:rsidP="007F71D8">
      <w:pPr>
        <w:pStyle w:val="Overskrift5"/>
        <w:rPr>
          <w:rFonts w:eastAsia="Times New Roman" w:cs="Times New Roman"/>
          <w:lang w:eastAsia="da-DK"/>
        </w:rPr>
      </w:pPr>
      <w:r w:rsidRPr="00577043">
        <w:rPr>
          <w:rFonts w:eastAsia="Times New Roman" w:cs="Times New Roman"/>
          <w:lang w:eastAsia="da-DK"/>
        </w:rPr>
        <w:t>2.1</w:t>
      </w:r>
      <w:r w:rsidR="00402351" w:rsidRPr="00577043">
        <w:rPr>
          <w:rFonts w:eastAsia="Times New Roman" w:cs="Times New Roman"/>
          <w:lang w:eastAsia="da-DK"/>
        </w:rPr>
        <w:t>. Nedsættelse af videnskabsetiske lægemiddelkomiteer</w:t>
      </w:r>
    </w:p>
    <w:p w14:paraId="73F104CD" w14:textId="77777777" w:rsidR="00966545" w:rsidRPr="00577043" w:rsidRDefault="00966545" w:rsidP="007F71D8">
      <w:pPr>
        <w:keepNext/>
        <w:keepLines/>
        <w:rPr>
          <w:rFonts w:eastAsia="Times New Roman" w:cs="Times New Roman"/>
          <w:bCs/>
          <w:color w:val="000000"/>
          <w:lang w:eastAsia="da-DK"/>
        </w:rPr>
      </w:pPr>
    </w:p>
    <w:p w14:paraId="0052197F" w14:textId="77777777" w:rsidR="00966545" w:rsidRPr="00577043" w:rsidRDefault="00FE4D89" w:rsidP="007F71D8">
      <w:pPr>
        <w:keepNext/>
        <w:keepLines/>
        <w:rPr>
          <w:rFonts w:eastAsia="Times New Roman" w:cs="Times New Roman"/>
          <w:bCs/>
          <w:i/>
          <w:color w:val="000000"/>
          <w:lang w:eastAsia="da-DK"/>
        </w:rPr>
      </w:pPr>
      <w:r w:rsidRPr="00577043">
        <w:rPr>
          <w:rFonts w:eastAsia="Times New Roman" w:cs="Times New Roman"/>
          <w:bCs/>
          <w:i/>
          <w:color w:val="000000"/>
          <w:lang w:eastAsia="da-DK"/>
        </w:rPr>
        <w:t xml:space="preserve">2.1.1. </w:t>
      </w:r>
      <w:r w:rsidR="00966545" w:rsidRPr="00577043">
        <w:rPr>
          <w:rFonts w:eastAsia="Times New Roman" w:cs="Times New Roman"/>
          <w:bCs/>
          <w:i/>
          <w:color w:val="000000"/>
          <w:lang w:eastAsia="da-DK"/>
        </w:rPr>
        <w:t>Gældende ret</w:t>
      </w:r>
    </w:p>
    <w:p w14:paraId="68A8DBB3" w14:textId="77777777" w:rsidR="00673C24" w:rsidRPr="00577043" w:rsidRDefault="00673C24" w:rsidP="007F71D8">
      <w:pPr>
        <w:keepNext/>
        <w:keepLines/>
        <w:rPr>
          <w:rFonts w:eastAsia="Times New Roman" w:cs="Times New Roman"/>
          <w:color w:val="000000"/>
          <w:lang w:eastAsia="da-DK"/>
        </w:rPr>
      </w:pPr>
      <w:r w:rsidRPr="00577043">
        <w:rPr>
          <w:rFonts w:eastAsia="Times New Roman" w:cs="Times New Roman"/>
          <w:bCs/>
          <w:color w:val="000000"/>
          <w:lang w:eastAsia="da-DK"/>
        </w:rPr>
        <w:t xml:space="preserve">Det videnskabsetiske komitésystem har som formål at sikre, at sundhedsvidenskabelige forskningsprojekter gennemføres videnskabsetisk forsvarligt, jf. § 1 i komitéloven. Komitésystemet består i dag af 12 regionale komiteer og en national komité. </w:t>
      </w:r>
      <w:r w:rsidR="009F6BCF" w:rsidRPr="00577043">
        <w:rPr>
          <w:rFonts w:eastAsia="Times New Roman" w:cs="Times New Roman"/>
          <w:color w:val="000000"/>
          <w:lang w:eastAsia="da-DK"/>
        </w:rPr>
        <w:t xml:space="preserve">Regionsrådene nedsætter regionale videnskabsetiske komiteer, mens </w:t>
      </w:r>
      <w:r w:rsidR="00A22EAD" w:rsidRPr="00577043">
        <w:rPr>
          <w:rFonts w:eastAsia="Times New Roman" w:cs="Times New Roman"/>
          <w:color w:val="000000"/>
          <w:lang w:eastAsia="da-DK"/>
        </w:rPr>
        <w:t>sundheds- og ældreministeren</w:t>
      </w:r>
      <w:r w:rsidR="009F6BCF" w:rsidRPr="00577043">
        <w:rPr>
          <w:rFonts w:eastAsia="Times New Roman" w:cs="Times New Roman"/>
          <w:color w:val="000000"/>
          <w:lang w:eastAsia="da-DK"/>
        </w:rPr>
        <w:t xml:space="preserve"> nedsætter Den Nationale Videnskabsetiske Komité (DNVK), jf.</w:t>
      </w:r>
      <w:r w:rsidR="005F26B1" w:rsidRPr="00577043">
        <w:rPr>
          <w:rFonts w:eastAsia="Times New Roman" w:cs="Times New Roman"/>
          <w:color w:val="000000"/>
          <w:lang w:eastAsia="da-DK"/>
        </w:rPr>
        <w:t xml:space="preserve"> </w:t>
      </w:r>
      <w:r w:rsidR="00913BB0">
        <w:rPr>
          <w:rFonts w:eastAsia="Times New Roman" w:cs="Times New Roman"/>
          <w:color w:val="000000"/>
          <w:lang w:eastAsia="da-DK"/>
        </w:rPr>
        <w:t>§</w:t>
      </w:r>
      <w:r w:rsidR="005F26B1" w:rsidRPr="00577043">
        <w:rPr>
          <w:rFonts w:eastAsia="Times New Roman" w:cs="Times New Roman"/>
          <w:color w:val="000000"/>
          <w:lang w:eastAsia="da-DK"/>
        </w:rPr>
        <w:t xml:space="preserve">§ </w:t>
      </w:r>
      <w:r w:rsidR="00913BB0">
        <w:rPr>
          <w:rFonts w:eastAsia="Times New Roman" w:cs="Times New Roman"/>
          <w:color w:val="000000"/>
          <w:lang w:eastAsia="da-DK"/>
        </w:rPr>
        <w:t xml:space="preserve">35 og </w:t>
      </w:r>
      <w:r w:rsidR="005F26B1" w:rsidRPr="00577043">
        <w:rPr>
          <w:rFonts w:eastAsia="Times New Roman" w:cs="Times New Roman"/>
          <w:color w:val="000000"/>
          <w:lang w:eastAsia="da-DK"/>
        </w:rPr>
        <w:t>37</w:t>
      </w:r>
      <w:r w:rsidR="00913BB0">
        <w:rPr>
          <w:rFonts w:eastAsia="Times New Roman" w:cs="Times New Roman"/>
          <w:color w:val="000000"/>
          <w:lang w:eastAsia="da-DK"/>
        </w:rPr>
        <w:t xml:space="preserve"> i komitéloven</w:t>
      </w:r>
      <w:r w:rsidR="009F6BCF" w:rsidRPr="00577043">
        <w:rPr>
          <w:rFonts w:eastAsia="Times New Roman" w:cs="Times New Roman"/>
          <w:color w:val="000000"/>
          <w:lang w:eastAsia="da-DK"/>
        </w:rPr>
        <w:t xml:space="preserve">. </w:t>
      </w:r>
    </w:p>
    <w:p w14:paraId="31015592" w14:textId="77777777" w:rsidR="00673C24" w:rsidRPr="00577043" w:rsidRDefault="00673C24" w:rsidP="00B53A8E">
      <w:pPr>
        <w:rPr>
          <w:rFonts w:eastAsia="Times New Roman" w:cs="Times New Roman"/>
          <w:color w:val="000000"/>
          <w:lang w:eastAsia="da-DK"/>
        </w:rPr>
      </w:pPr>
    </w:p>
    <w:p w14:paraId="1B3C875A" w14:textId="77777777" w:rsidR="00C24D69" w:rsidRDefault="00673C24" w:rsidP="00B53A8E">
      <w:pPr>
        <w:rPr>
          <w:rFonts w:eastAsia="Times New Roman" w:cs="Times New Roman"/>
          <w:bCs/>
          <w:color w:val="000000"/>
          <w:lang w:eastAsia="da-DK"/>
        </w:rPr>
      </w:pPr>
      <w:r w:rsidRPr="00577043">
        <w:rPr>
          <w:rFonts w:eastAsia="Times New Roman" w:cs="Times New Roman"/>
          <w:bCs/>
          <w:color w:val="000000"/>
          <w:lang w:eastAsia="da-DK"/>
        </w:rPr>
        <w:t>De r</w:t>
      </w:r>
      <w:r w:rsidR="00966545" w:rsidRPr="00577043">
        <w:rPr>
          <w:rFonts w:eastAsia="Times New Roman" w:cs="Times New Roman"/>
          <w:bCs/>
          <w:color w:val="000000"/>
          <w:lang w:eastAsia="da-DK"/>
        </w:rPr>
        <w:t xml:space="preserve">egionale komiteer bedømmer </w:t>
      </w:r>
      <w:r w:rsidRPr="00577043">
        <w:rPr>
          <w:rFonts w:eastAsia="Times New Roman" w:cs="Times New Roman"/>
          <w:bCs/>
          <w:color w:val="000000"/>
          <w:lang w:eastAsia="da-DK"/>
        </w:rPr>
        <w:t xml:space="preserve">hovedparten af </w:t>
      </w:r>
      <w:r w:rsidR="008E1D66" w:rsidRPr="00577043">
        <w:rPr>
          <w:rFonts w:eastAsia="Times New Roman" w:cs="Times New Roman"/>
          <w:bCs/>
          <w:color w:val="000000"/>
          <w:lang w:eastAsia="da-DK"/>
        </w:rPr>
        <w:t xml:space="preserve">de </w:t>
      </w:r>
      <w:r w:rsidR="00966545" w:rsidRPr="00577043">
        <w:rPr>
          <w:rFonts w:eastAsia="Times New Roman" w:cs="Times New Roman"/>
          <w:bCs/>
          <w:color w:val="000000"/>
          <w:lang w:eastAsia="da-DK"/>
        </w:rPr>
        <w:t>sundhedsvidenskabelige forskningsprojekter</w:t>
      </w:r>
      <w:r w:rsidR="00C24D69">
        <w:rPr>
          <w:rFonts w:eastAsia="Times New Roman" w:cs="Times New Roman"/>
          <w:bCs/>
          <w:color w:val="000000"/>
          <w:lang w:eastAsia="da-DK"/>
        </w:rPr>
        <w:t>. S</w:t>
      </w:r>
      <w:r w:rsidR="008E1D66" w:rsidRPr="00577043">
        <w:rPr>
          <w:rFonts w:eastAsia="Times New Roman" w:cs="Times New Roman"/>
          <w:bCs/>
          <w:color w:val="000000"/>
          <w:lang w:eastAsia="da-DK"/>
        </w:rPr>
        <w:t xml:space="preserve">undhedsvidenskabelige </w:t>
      </w:r>
      <w:r w:rsidR="00966545" w:rsidRPr="00577043">
        <w:rPr>
          <w:rFonts w:eastAsia="Times New Roman" w:cs="Times New Roman"/>
          <w:bCs/>
          <w:color w:val="000000"/>
          <w:lang w:eastAsia="da-DK"/>
        </w:rPr>
        <w:t>forskningsprojekter, som vedrører særligt komplekse områder</w:t>
      </w:r>
      <w:r w:rsidR="00C24D69">
        <w:rPr>
          <w:rFonts w:eastAsia="Times New Roman" w:cs="Times New Roman"/>
          <w:bCs/>
          <w:color w:val="000000"/>
          <w:lang w:eastAsia="da-DK"/>
        </w:rPr>
        <w:t>, bedømmes af DNVK</w:t>
      </w:r>
      <w:r w:rsidR="00966545" w:rsidRPr="00577043">
        <w:rPr>
          <w:rFonts w:eastAsia="Times New Roman" w:cs="Times New Roman"/>
          <w:bCs/>
          <w:color w:val="000000"/>
          <w:lang w:eastAsia="da-DK"/>
        </w:rPr>
        <w:t xml:space="preserve">. </w:t>
      </w:r>
    </w:p>
    <w:p w14:paraId="7C213BD8" w14:textId="77777777" w:rsidR="00C24D69" w:rsidRDefault="00C24D69" w:rsidP="00B53A8E">
      <w:pPr>
        <w:rPr>
          <w:rFonts w:eastAsia="Times New Roman" w:cs="Times New Roman"/>
          <w:bCs/>
          <w:color w:val="000000"/>
          <w:lang w:eastAsia="da-DK"/>
        </w:rPr>
      </w:pPr>
    </w:p>
    <w:p w14:paraId="2201B77F" w14:textId="77777777" w:rsidR="00B53A8E" w:rsidRPr="00577043" w:rsidRDefault="00D100BF" w:rsidP="00B53A8E">
      <w:pPr>
        <w:rPr>
          <w:rFonts w:eastAsia="Times New Roman" w:cs="Times New Roman"/>
          <w:bCs/>
          <w:color w:val="000000"/>
          <w:lang w:eastAsia="da-DK"/>
        </w:rPr>
      </w:pPr>
      <w:r w:rsidRPr="00577043">
        <w:rPr>
          <w:rFonts w:eastAsia="Times New Roman" w:cs="Times New Roman"/>
          <w:bCs/>
          <w:color w:val="000000"/>
          <w:lang w:eastAsia="da-DK"/>
        </w:rPr>
        <w:t>D</w:t>
      </w:r>
      <w:r w:rsidR="00B53A8E" w:rsidRPr="00577043">
        <w:rPr>
          <w:rFonts w:eastAsia="Times New Roman" w:cs="Times New Roman"/>
          <w:bCs/>
          <w:color w:val="000000"/>
          <w:lang w:eastAsia="da-DK"/>
        </w:rPr>
        <w:t xml:space="preserve">NVK </w:t>
      </w:r>
      <w:r w:rsidRPr="00577043">
        <w:rPr>
          <w:rFonts w:eastAsia="Times New Roman" w:cs="Times New Roman"/>
          <w:bCs/>
          <w:color w:val="000000"/>
          <w:lang w:eastAsia="da-DK"/>
        </w:rPr>
        <w:t xml:space="preserve">er </w:t>
      </w:r>
      <w:r w:rsidR="00C24D69">
        <w:rPr>
          <w:rFonts w:eastAsia="Times New Roman" w:cs="Times New Roman"/>
          <w:bCs/>
          <w:color w:val="000000"/>
          <w:lang w:eastAsia="da-DK"/>
        </w:rPr>
        <w:t xml:space="preserve">desuden </w:t>
      </w:r>
      <w:r w:rsidRPr="00577043">
        <w:rPr>
          <w:rFonts w:eastAsia="Times New Roman" w:cs="Times New Roman"/>
          <w:bCs/>
          <w:color w:val="000000"/>
          <w:lang w:eastAsia="da-DK"/>
        </w:rPr>
        <w:t>a</w:t>
      </w:r>
      <w:r w:rsidR="00B53A8E" w:rsidRPr="00577043">
        <w:rPr>
          <w:rFonts w:eastAsia="Times New Roman" w:cs="Times New Roman"/>
          <w:bCs/>
          <w:color w:val="000000"/>
          <w:lang w:eastAsia="da-DK"/>
        </w:rPr>
        <w:t>nkeinstans for de regionale komiteer</w:t>
      </w:r>
      <w:r w:rsidR="00131B54" w:rsidRPr="00577043">
        <w:rPr>
          <w:rFonts w:eastAsia="Times New Roman" w:cs="Times New Roman"/>
          <w:bCs/>
          <w:color w:val="000000"/>
          <w:lang w:eastAsia="da-DK"/>
        </w:rPr>
        <w:t>, j</w:t>
      </w:r>
      <w:r w:rsidRPr="00577043">
        <w:rPr>
          <w:rFonts w:eastAsia="Times New Roman" w:cs="Times New Roman"/>
          <w:bCs/>
          <w:color w:val="000000"/>
          <w:lang w:eastAsia="da-DK"/>
        </w:rPr>
        <w:t>f. § 26, stk. 1. Herudover koordinerer</w:t>
      </w:r>
      <w:r w:rsidR="00131B54" w:rsidRPr="00577043">
        <w:rPr>
          <w:rFonts w:eastAsia="Times New Roman" w:cs="Times New Roman"/>
          <w:bCs/>
          <w:color w:val="000000"/>
          <w:lang w:eastAsia="da-DK"/>
        </w:rPr>
        <w:t xml:space="preserve"> DNVK </w:t>
      </w:r>
      <w:r w:rsidRPr="00577043">
        <w:rPr>
          <w:rFonts w:eastAsia="Times New Roman" w:cs="Times New Roman"/>
          <w:bCs/>
          <w:color w:val="000000"/>
          <w:lang w:eastAsia="da-DK"/>
        </w:rPr>
        <w:t xml:space="preserve">bl.a. </w:t>
      </w:r>
      <w:r w:rsidR="00131B54" w:rsidRPr="00577043">
        <w:rPr>
          <w:rFonts w:eastAsia="Times New Roman" w:cs="Times New Roman"/>
          <w:bCs/>
          <w:color w:val="000000"/>
          <w:lang w:eastAsia="da-DK"/>
        </w:rPr>
        <w:t xml:space="preserve">arbejdet i de regionale komiteer, fastsætter vejledende retningslinjer og udtaler sig om spørgsmål af </w:t>
      </w:r>
      <w:r w:rsidR="00131B54" w:rsidRPr="00577043">
        <w:rPr>
          <w:rFonts w:eastAsia="Times New Roman" w:cs="Times New Roman"/>
          <w:bCs/>
          <w:color w:val="000000"/>
          <w:lang w:eastAsia="da-DK"/>
        </w:rPr>
        <w:lastRenderedPageBreak/>
        <w:t>principiel karakter, der ikke er knyttet til godkendelsen af et konkret forskningsprojekt, jf. § 32</w:t>
      </w:r>
      <w:r w:rsidRPr="00577043">
        <w:rPr>
          <w:rFonts w:eastAsia="Times New Roman" w:cs="Times New Roman"/>
          <w:bCs/>
          <w:color w:val="000000"/>
          <w:lang w:eastAsia="da-DK"/>
        </w:rPr>
        <w:t>, stk. 1,</w:t>
      </w:r>
      <w:r w:rsidR="00131B54" w:rsidRPr="00577043">
        <w:rPr>
          <w:rFonts w:eastAsia="Times New Roman" w:cs="Times New Roman"/>
          <w:bCs/>
          <w:color w:val="000000"/>
          <w:lang w:eastAsia="da-DK"/>
        </w:rPr>
        <w:t xml:space="preserve"> i komitéloven</w:t>
      </w:r>
      <w:r w:rsidR="00B53A8E" w:rsidRPr="00577043">
        <w:rPr>
          <w:rFonts w:eastAsia="Times New Roman" w:cs="Times New Roman"/>
          <w:bCs/>
          <w:color w:val="000000"/>
          <w:lang w:eastAsia="da-DK"/>
        </w:rPr>
        <w:t xml:space="preserve">. </w:t>
      </w:r>
    </w:p>
    <w:p w14:paraId="36E93783" w14:textId="77777777" w:rsidR="00673C24" w:rsidRPr="00577043" w:rsidRDefault="00673C24" w:rsidP="00B53A8E">
      <w:pPr>
        <w:rPr>
          <w:rFonts w:eastAsia="Times New Roman" w:cs="Times New Roman"/>
          <w:bCs/>
          <w:color w:val="000000"/>
          <w:lang w:eastAsia="da-DK"/>
        </w:rPr>
      </w:pPr>
    </w:p>
    <w:p w14:paraId="2C037528" w14:textId="77777777" w:rsidR="00B53A8E" w:rsidRPr="00577043" w:rsidRDefault="00673C24" w:rsidP="00B53A8E">
      <w:pPr>
        <w:rPr>
          <w:rFonts w:eastAsia="Times New Roman" w:cs="Times New Roman"/>
          <w:bCs/>
          <w:color w:val="000000"/>
          <w:lang w:eastAsia="da-DK"/>
        </w:rPr>
      </w:pPr>
      <w:r w:rsidRPr="00577043">
        <w:rPr>
          <w:rFonts w:eastAsia="Times New Roman" w:cs="Times New Roman"/>
          <w:bCs/>
          <w:color w:val="000000"/>
          <w:lang w:eastAsia="da-DK"/>
        </w:rPr>
        <w:t>Sundhedsvidenskabelige forskningsprojekter</w:t>
      </w:r>
      <w:r w:rsidR="00CD1A3C" w:rsidRPr="00577043">
        <w:rPr>
          <w:rFonts w:eastAsia="Times New Roman" w:cs="Times New Roman"/>
          <w:bCs/>
          <w:color w:val="000000"/>
          <w:lang w:eastAsia="da-DK"/>
        </w:rPr>
        <w:t xml:space="preserve"> omfatter alle projekter, der indebærer forsøg på levendefødte menneskelige individer, menneskelige kønsceller, der agtes anvendt til befrugtning, menneskelige befrugtede æg, fosteranlæg og fostre, væv, celler og arvebestanddele fra mennesker, fostre og lign, eller afdøde</w:t>
      </w:r>
      <w:r w:rsidR="00185777">
        <w:rPr>
          <w:rFonts w:eastAsia="Times New Roman" w:cs="Times New Roman"/>
          <w:bCs/>
          <w:color w:val="000000"/>
          <w:lang w:eastAsia="da-DK"/>
        </w:rPr>
        <w:t>, j</w:t>
      </w:r>
      <w:r w:rsidR="00D100BF" w:rsidRPr="00577043">
        <w:rPr>
          <w:rFonts w:eastAsia="Times New Roman" w:cs="Times New Roman"/>
          <w:bCs/>
          <w:color w:val="000000"/>
          <w:lang w:eastAsia="da-DK"/>
        </w:rPr>
        <w:t>f. komitelovens § 2, stk. 1, nr. 2</w:t>
      </w:r>
      <w:r w:rsidR="00CD1A3C" w:rsidRPr="00577043">
        <w:rPr>
          <w:rFonts w:eastAsia="Times New Roman" w:cs="Times New Roman"/>
          <w:bCs/>
          <w:color w:val="000000"/>
          <w:lang w:eastAsia="da-DK"/>
        </w:rPr>
        <w:t xml:space="preserve">. </w:t>
      </w:r>
      <w:r w:rsidR="00185777">
        <w:rPr>
          <w:rFonts w:eastAsia="Times New Roman" w:cs="Times New Roman"/>
          <w:bCs/>
          <w:color w:val="000000"/>
          <w:lang w:eastAsia="da-DK"/>
        </w:rPr>
        <w:t>K</w:t>
      </w:r>
      <w:r w:rsidR="00CD1A3C" w:rsidRPr="00577043">
        <w:rPr>
          <w:rFonts w:eastAsia="Times New Roman" w:cs="Times New Roman"/>
          <w:bCs/>
          <w:color w:val="000000"/>
          <w:lang w:eastAsia="da-DK"/>
        </w:rPr>
        <w:t>liniske forsøg med lægemidler på mennesker</w:t>
      </w:r>
      <w:r w:rsidR="00185777">
        <w:rPr>
          <w:rFonts w:eastAsia="Times New Roman" w:cs="Times New Roman"/>
          <w:bCs/>
          <w:color w:val="000000"/>
          <w:lang w:eastAsia="da-DK"/>
        </w:rPr>
        <w:t xml:space="preserve"> er omfattet af sådanne projekter</w:t>
      </w:r>
      <w:r w:rsidR="00CD1A3C" w:rsidRPr="00577043">
        <w:rPr>
          <w:rFonts w:eastAsia="Times New Roman" w:cs="Times New Roman"/>
          <w:bCs/>
          <w:color w:val="000000"/>
          <w:lang w:eastAsia="da-DK"/>
        </w:rPr>
        <w:t>, jf. § 2, nr. 1</w:t>
      </w:r>
      <w:r w:rsidR="00E242B9">
        <w:rPr>
          <w:rFonts w:eastAsia="Times New Roman" w:cs="Times New Roman"/>
          <w:bCs/>
          <w:color w:val="000000"/>
          <w:lang w:eastAsia="da-DK"/>
        </w:rPr>
        <w:t>,</w:t>
      </w:r>
      <w:r w:rsidR="00CD1A3C" w:rsidRPr="00577043">
        <w:rPr>
          <w:rFonts w:eastAsia="Times New Roman" w:cs="Times New Roman"/>
          <w:bCs/>
          <w:color w:val="000000"/>
          <w:lang w:eastAsia="da-DK"/>
        </w:rPr>
        <w:t xml:space="preserve"> i komitéloven. </w:t>
      </w:r>
      <w:r w:rsidR="00B53A8E" w:rsidRPr="00577043">
        <w:rPr>
          <w:rFonts w:eastAsia="Times New Roman" w:cs="Times New Roman"/>
          <w:bCs/>
          <w:color w:val="000000"/>
          <w:lang w:eastAsia="da-DK"/>
        </w:rPr>
        <w:t xml:space="preserve">I 2014 behandlede komitésystemet </w:t>
      </w:r>
      <w:r w:rsidR="006A65A3" w:rsidRPr="00577043">
        <w:rPr>
          <w:rFonts w:eastAsia="Times New Roman" w:cs="Times New Roman"/>
          <w:bCs/>
          <w:color w:val="000000"/>
          <w:lang w:eastAsia="da-DK"/>
        </w:rPr>
        <w:t xml:space="preserve">i </w:t>
      </w:r>
      <w:r w:rsidR="00B53A8E" w:rsidRPr="00577043">
        <w:rPr>
          <w:rFonts w:eastAsia="Times New Roman" w:cs="Times New Roman"/>
          <w:bCs/>
          <w:color w:val="000000"/>
          <w:lang w:eastAsia="da-DK"/>
        </w:rPr>
        <w:t xml:space="preserve">alt 1.413 nye anmeldelser af sundhedsvidenskabelige forskningsprojekter, hvoraf kliniske forsøg med lægemidler udgjorde </w:t>
      </w:r>
      <w:r w:rsidR="006A65A3" w:rsidRPr="00577043">
        <w:rPr>
          <w:rFonts w:eastAsia="Times New Roman" w:cs="Times New Roman"/>
          <w:bCs/>
          <w:color w:val="000000"/>
          <w:lang w:eastAsia="da-DK"/>
        </w:rPr>
        <w:t xml:space="preserve">301, svarende til </w:t>
      </w:r>
      <w:r w:rsidR="00B53A8E" w:rsidRPr="00577043">
        <w:rPr>
          <w:rFonts w:eastAsia="Times New Roman" w:cs="Times New Roman"/>
          <w:bCs/>
          <w:color w:val="000000"/>
          <w:lang w:eastAsia="da-DK"/>
        </w:rPr>
        <w:t xml:space="preserve">ca. 20 pct. DNVK </w:t>
      </w:r>
      <w:r w:rsidR="006A65A3" w:rsidRPr="00577043">
        <w:rPr>
          <w:rFonts w:eastAsia="Times New Roman" w:cs="Times New Roman"/>
          <w:bCs/>
          <w:color w:val="000000"/>
          <w:lang w:eastAsia="da-DK"/>
        </w:rPr>
        <w:t xml:space="preserve">behandlede </w:t>
      </w:r>
      <w:r w:rsidR="00B53A8E" w:rsidRPr="00577043">
        <w:rPr>
          <w:rFonts w:eastAsia="Times New Roman" w:cs="Times New Roman"/>
          <w:bCs/>
          <w:color w:val="000000"/>
          <w:lang w:eastAsia="da-DK"/>
        </w:rPr>
        <w:t xml:space="preserve">8 </w:t>
      </w:r>
      <w:r w:rsidR="006A65A3" w:rsidRPr="00577043">
        <w:rPr>
          <w:rFonts w:eastAsia="Times New Roman" w:cs="Times New Roman"/>
          <w:bCs/>
          <w:color w:val="000000"/>
          <w:lang w:eastAsia="da-DK"/>
        </w:rPr>
        <w:t xml:space="preserve">af disse </w:t>
      </w:r>
      <w:r w:rsidR="00B53A8E" w:rsidRPr="00577043">
        <w:rPr>
          <w:rFonts w:eastAsia="Times New Roman" w:cs="Times New Roman"/>
          <w:bCs/>
          <w:color w:val="000000"/>
          <w:lang w:eastAsia="da-DK"/>
        </w:rPr>
        <w:t>ansøgninge</w:t>
      </w:r>
      <w:r w:rsidR="006A65A3" w:rsidRPr="00577043">
        <w:rPr>
          <w:rFonts w:eastAsia="Times New Roman" w:cs="Times New Roman"/>
          <w:bCs/>
          <w:color w:val="000000"/>
          <w:lang w:eastAsia="da-DK"/>
        </w:rPr>
        <w:t>r, idet de omhandlede lægemidler til avanceret terapi</w:t>
      </w:r>
      <w:r w:rsidR="00B53A8E" w:rsidRPr="00577043">
        <w:rPr>
          <w:rFonts w:eastAsia="Times New Roman" w:cs="Times New Roman"/>
          <w:bCs/>
          <w:color w:val="000000"/>
          <w:lang w:eastAsia="da-DK"/>
        </w:rPr>
        <w:t xml:space="preserve">. </w:t>
      </w:r>
    </w:p>
    <w:p w14:paraId="1BB24DD5" w14:textId="77777777" w:rsidR="00966545" w:rsidRPr="00577043" w:rsidRDefault="00966545" w:rsidP="00CB2276">
      <w:pPr>
        <w:rPr>
          <w:rFonts w:eastAsia="Times New Roman" w:cs="Times New Roman"/>
          <w:color w:val="000000"/>
          <w:lang w:eastAsia="da-DK"/>
        </w:rPr>
      </w:pPr>
    </w:p>
    <w:p w14:paraId="2260B71A" w14:textId="77777777" w:rsidR="00EE7B65" w:rsidRPr="00577043" w:rsidRDefault="00EE7B65" w:rsidP="00CB2276">
      <w:pPr>
        <w:rPr>
          <w:rFonts w:eastAsia="Times New Roman" w:cs="Times New Roman"/>
          <w:color w:val="000000"/>
          <w:lang w:eastAsia="da-DK"/>
        </w:rPr>
      </w:pPr>
      <w:r w:rsidRPr="00577043">
        <w:rPr>
          <w:rFonts w:eastAsia="Times New Roman" w:cs="Times New Roman"/>
          <w:color w:val="000000"/>
          <w:lang w:eastAsia="da-DK"/>
        </w:rPr>
        <w:t>Ifølge komitélovens § 35 består en regional komite af 7, 9 eller 11 medlemmer, hvoraf hhv. 3,</w:t>
      </w:r>
      <w:r w:rsidR="00F819E6" w:rsidRPr="00577043">
        <w:rPr>
          <w:rFonts w:eastAsia="Times New Roman" w:cs="Times New Roman"/>
          <w:color w:val="000000"/>
          <w:lang w:eastAsia="da-DK"/>
        </w:rPr>
        <w:t xml:space="preserve"> </w:t>
      </w:r>
      <w:r w:rsidRPr="00577043">
        <w:rPr>
          <w:rFonts w:eastAsia="Times New Roman" w:cs="Times New Roman"/>
          <w:color w:val="000000"/>
          <w:lang w:eastAsia="da-DK"/>
        </w:rPr>
        <w:t>5 eller 9 medlemmer skal være aktive inden for sundhedsvidenskabelig forskning. Den nationale komité består af 13 medlemmer, som skal sammensættes bredt af medlemmer, der er aktive inden for den sundhedsvidenskabelige forskning, og lægmedlemmer.</w:t>
      </w:r>
    </w:p>
    <w:p w14:paraId="735D284C" w14:textId="77777777" w:rsidR="00EE7B65" w:rsidRPr="00577043" w:rsidRDefault="00EE7B65" w:rsidP="00CB2276">
      <w:pPr>
        <w:rPr>
          <w:rFonts w:eastAsia="Times New Roman" w:cs="Times New Roman"/>
          <w:color w:val="000000"/>
          <w:lang w:eastAsia="da-DK"/>
        </w:rPr>
      </w:pPr>
    </w:p>
    <w:p w14:paraId="57DFF33A" w14:textId="77777777" w:rsidR="00966545" w:rsidRPr="00577043" w:rsidRDefault="006D08B3" w:rsidP="00CB2276">
      <w:pPr>
        <w:rPr>
          <w:rFonts w:eastAsia="Times New Roman" w:cs="Times New Roman"/>
          <w:i/>
          <w:color w:val="000000"/>
          <w:lang w:eastAsia="da-DK"/>
        </w:rPr>
      </w:pPr>
      <w:r>
        <w:rPr>
          <w:rFonts w:eastAsia="Times New Roman" w:cs="Times New Roman"/>
          <w:i/>
          <w:color w:val="000000"/>
          <w:lang w:eastAsia="da-DK"/>
        </w:rPr>
        <w:t xml:space="preserve">2.1.2. </w:t>
      </w:r>
      <w:r w:rsidR="00966545" w:rsidRPr="00577043">
        <w:rPr>
          <w:rFonts w:eastAsia="Times New Roman" w:cs="Times New Roman"/>
          <w:i/>
          <w:color w:val="000000"/>
          <w:lang w:eastAsia="da-DK"/>
        </w:rPr>
        <w:t>Forslag</w:t>
      </w:r>
    </w:p>
    <w:p w14:paraId="4582EF95" w14:textId="77777777" w:rsidR="009E0539" w:rsidRPr="00577043" w:rsidRDefault="00266A9F" w:rsidP="00CB2276">
      <w:pPr>
        <w:rPr>
          <w:rFonts w:eastAsia="Times New Roman" w:cs="Times New Roman"/>
          <w:color w:val="000000"/>
          <w:lang w:eastAsia="da-DK"/>
        </w:rPr>
      </w:pPr>
      <w:r w:rsidRPr="00577043">
        <w:rPr>
          <w:rFonts w:eastAsia="Times New Roman" w:cs="Times New Roman"/>
          <w:color w:val="000000"/>
          <w:lang w:eastAsia="da-DK"/>
        </w:rPr>
        <w:t>Med f</w:t>
      </w:r>
      <w:r w:rsidR="00D4670E" w:rsidRPr="00577043">
        <w:rPr>
          <w:rFonts w:eastAsia="Times New Roman" w:cs="Times New Roman"/>
          <w:color w:val="000000"/>
          <w:lang w:eastAsia="da-DK"/>
        </w:rPr>
        <w:t xml:space="preserve">orordningen stilles nye krav til </w:t>
      </w:r>
      <w:r w:rsidR="00250D12" w:rsidRPr="00577043">
        <w:rPr>
          <w:rFonts w:eastAsia="Times New Roman" w:cs="Times New Roman"/>
          <w:color w:val="000000"/>
          <w:lang w:eastAsia="da-DK"/>
        </w:rPr>
        <w:t>v</w:t>
      </w:r>
      <w:r w:rsidR="00D4670E" w:rsidRPr="00577043">
        <w:rPr>
          <w:rFonts w:eastAsia="Times New Roman" w:cs="Times New Roman"/>
          <w:color w:val="000000"/>
          <w:lang w:eastAsia="da-DK"/>
        </w:rPr>
        <w:t>urdering</w:t>
      </w:r>
      <w:r w:rsidR="00250D12" w:rsidRPr="00577043">
        <w:rPr>
          <w:rFonts w:eastAsia="Times New Roman" w:cs="Times New Roman"/>
          <w:color w:val="000000"/>
          <w:lang w:eastAsia="da-DK"/>
        </w:rPr>
        <w:t>en</w:t>
      </w:r>
      <w:r w:rsidR="00D4670E" w:rsidRPr="00577043">
        <w:rPr>
          <w:rFonts w:eastAsia="Times New Roman" w:cs="Times New Roman"/>
          <w:color w:val="000000"/>
          <w:lang w:eastAsia="da-DK"/>
        </w:rPr>
        <w:t xml:space="preserve"> af kliniske forsøg med humanmedicinske lægemidler</w:t>
      </w:r>
      <w:r w:rsidR="00DC010B" w:rsidRPr="00577043">
        <w:rPr>
          <w:rFonts w:eastAsia="Times New Roman" w:cs="Times New Roman"/>
          <w:color w:val="000000"/>
          <w:lang w:eastAsia="da-DK"/>
        </w:rPr>
        <w:t xml:space="preserve">, som </w:t>
      </w:r>
      <w:r w:rsidR="00F819E6" w:rsidRPr="00577043">
        <w:rPr>
          <w:rFonts w:eastAsia="Times New Roman" w:cs="Times New Roman"/>
          <w:color w:val="000000"/>
          <w:lang w:eastAsia="da-DK"/>
        </w:rPr>
        <w:t>skal medvirke til at</w:t>
      </w:r>
      <w:r w:rsidR="00DC010B" w:rsidRPr="00577043">
        <w:rPr>
          <w:rFonts w:eastAsia="Times New Roman" w:cs="Times New Roman"/>
          <w:color w:val="000000"/>
          <w:lang w:eastAsia="da-DK"/>
        </w:rPr>
        <w:t xml:space="preserve"> skabe et bedre grundlag for at tiltrække forsøg til EU-medlemsstaterne. Den videnskabsetiske behandling af lægemiddelansøgninger foreslås på den baggrund ændret, således at ansøgninger </w:t>
      </w:r>
      <w:r w:rsidR="00E53C17">
        <w:rPr>
          <w:rFonts w:eastAsia="Times New Roman" w:cs="Times New Roman"/>
          <w:color w:val="000000"/>
          <w:lang w:eastAsia="da-DK"/>
        </w:rPr>
        <w:t>om</w:t>
      </w:r>
      <w:r w:rsidR="00DC010B" w:rsidRPr="00577043">
        <w:rPr>
          <w:rFonts w:eastAsia="Times New Roman" w:cs="Times New Roman"/>
          <w:color w:val="000000"/>
          <w:lang w:eastAsia="da-DK"/>
        </w:rPr>
        <w:t xml:space="preserve"> lægemiddelforsøg skal indgives til komiteer, som er specialiserede i lægemiddelforsøg</w:t>
      </w:r>
      <w:r w:rsidR="00F56559" w:rsidRPr="00577043">
        <w:rPr>
          <w:rFonts w:eastAsia="Times New Roman" w:cs="Times New Roman"/>
          <w:color w:val="000000"/>
          <w:lang w:eastAsia="da-DK"/>
        </w:rPr>
        <w:t>. Disse videnskabsetiske lægemiddelkomiteer skal</w:t>
      </w:r>
      <w:r w:rsidR="00DC010B" w:rsidRPr="00577043">
        <w:rPr>
          <w:rFonts w:eastAsia="Times New Roman" w:cs="Times New Roman"/>
          <w:color w:val="000000"/>
          <w:lang w:eastAsia="da-DK"/>
        </w:rPr>
        <w:t xml:space="preserve"> </w:t>
      </w:r>
      <w:r w:rsidR="00F56559" w:rsidRPr="00577043">
        <w:rPr>
          <w:rFonts w:eastAsia="Times New Roman" w:cs="Times New Roman"/>
          <w:color w:val="000000"/>
          <w:lang w:eastAsia="da-DK"/>
        </w:rPr>
        <w:t xml:space="preserve">efter forslaget </w:t>
      </w:r>
      <w:r w:rsidR="00DC010B" w:rsidRPr="00577043">
        <w:rPr>
          <w:rFonts w:eastAsia="Times New Roman" w:cs="Times New Roman"/>
          <w:color w:val="000000"/>
          <w:lang w:eastAsia="da-DK"/>
        </w:rPr>
        <w:t>behandle alle ansøgning</w:t>
      </w:r>
      <w:r w:rsidR="00F56559" w:rsidRPr="00577043">
        <w:rPr>
          <w:rFonts w:eastAsia="Times New Roman" w:cs="Times New Roman"/>
          <w:color w:val="000000"/>
          <w:lang w:eastAsia="da-DK"/>
        </w:rPr>
        <w:t>er om lægemiddelforsøg og følge</w:t>
      </w:r>
      <w:r w:rsidR="00DC010B" w:rsidRPr="00577043">
        <w:rPr>
          <w:rFonts w:eastAsia="Times New Roman" w:cs="Times New Roman"/>
          <w:color w:val="000000"/>
          <w:lang w:eastAsia="da-DK"/>
        </w:rPr>
        <w:t xml:space="preserve"> </w:t>
      </w:r>
      <w:r w:rsidR="00250D12" w:rsidRPr="00577043">
        <w:rPr>
          <w:rFonts w:eastAsia="Times New Roman" w:cs="Times New Roman"/>
          <w:color w:val="000000"/>
          <w:lang w:eastAsia="da-DK"/>
        </w:rPr>
        <w:t xml:space="preserve">op </w:t>
      </w:r>
      <w:r w:rsidR="00DC010B" w:rsidRPr="00577043">
        <w:rPr>
          <w:rFonts w:eastAsia="Times New Roman" w:cs="Times New Roman"/>
          <w:color w:val="000000"/>
          <w:lang w:eastAsia="da-DK"/>
        </w:rPr>
        <w:t>på de godkendte forsøg. Øvrige sundhedsvidenskabelige forskningsprojekter vil fortsat skulle behandles i de regionale videnskabsetiske komiteer.</w:t>
      </w:r>
    </w:p>
    <w:p w14:paraId="4B2DF61A" w14:textId="77777777" w:rsidR="00565045" w:rsidRPr="00577043" w:rsidRDefault="00565045" w:rsidP="00CB2276">
      <w:pPr>
        <w:rPr>
          <w:rFonts w:eastAsia="Times New Roman" w:cs="Times New Roman"/>
          <w:color w:val="000000"/>
          <w:lang w:eastAsia="da-DK"/>
        </w:rPr>
      </w:pPr>
    </w:p>
    <w:p w14:paraId="3D472E85" w14:textId="77777777" w:rsidR="00DC010B" w:rsidRPr="00577043" w:rsidRDefault="00DC010B" w:rsidP="00DC010B">
      <w:pPr>
        <w:rPr>
          <w:rFonts w:eastAsia="Times New Roman" w:cs="Times New Roman"/>
          <w:color w:val="000000"/>
          <w:lang w:eastAsia="da-DK"/>
        </w:rPr>
      </w:pPr>
      <w:r w:rsidRPr="00577043">
        <w:rPr>
          <w:rFonts w:eastAsia="Times New Roman" w:cs="Times New Roman"/>
          <w:color w:val="000000"/>
          <w:lang w:eastAsia="da-DK"/>
        </w:rPr>
        <w:t xml:space="preserve">Rammerne for nedsættelsen af en videnskabsetiske komité er fastsat i </w:t>
      </w:r>
      <w:r w:rsidR="00D81CBD" w:rsidRPr="00577043">
        <w:rPr>
          <w:rFonts w:eastAsia="Times New Roman" w:cs="Times New Roman"/>
          <w:color w:val="000000"/>
          <w:lang w:eastAsia="da-DK"/>
        </w:rPr>
        <w:t xml:space="preserve">forordningens </w:t>
      </w:r>
      <w:r w:rsidRPr="00577043">
        <w:rPr>
          <w:rFonts w:eastAsia="Times New Roman" w:cs="Times New Roman"/>
          <w:color w:val="000000"/>
          <w:lang w:eastAsia="da-DK"/>
        </w:rPr>
        <w:t>art</w:t>
      </w:r>
      <w:r w:rsidR="00522513">
        <w:rPr>
          <w:rFonts w:eastAsia="Times New Roman" w:cs="Times New Roman"/>
          <w:color w:val="000000"/>
          <w:lang w:eastAsia="da-DK"/>
        </w:rPr>
        <w:t>ikel</w:t>
      </w:r>
      <w:r w:rsidRPr="00577043">
        <w:rPr>
          <w:rFonts w:eastAsia="Times New Roman" w:cs="Times New Roman"/>
          <w:color w:val="000000"/>
          <w:lang w:eastAsia="da-DK"/>
        </w:rPr>
        <w:t xml:space="preserve"> 2, stk. 2, nr. 11</w:t>
      </w:r>
      <w:r w:rsidR="00D81CBD" w:rsidRPr="00577043">
        <w:rPr>
          <w:rFonts w:eastAsia="Times New Roman" w:cs="Times New Roman"/>
          <w:color w:val="000000"/>
          <w:lang w:eastAsia="da-DK"/>
        </w:rPr>
        <w:t xml:space="preserve">, </w:t>
      </w:r>
      <w:r w:rsidRPr="00577043">
        <w:rPr>
          <w:rFonts w:eastAsia="Times New Roman" w:cs="Times New Roman"/>
          <w:color w:val="000000"/>
          <w:lang w:eastAsia="da-DK"/>
        </w:rPr>
        <w:t xml:space="preserve">hvori en etisk komité er defineret </w:t>
      </w:r>
      <w:r w:rsidR="00865C07">
        <w:rPr>
          <w:rFonts w:eastAsia="Times New Roman" w:cs="Times New Roman"/>
          <w:color w:val="000000"/>
          <w:lang w:eastAsia="da-DK"/>
        </w:rPr>
        <w:t>som</w:t>
      </w:r>
      <w:r w:rsidRPr="00577043">
        <w:rPr>
          <w:rFonts w:eastAsia="Times New Roman" w:cs="Times New Roman"/>
          <w:color w:val="000000"/>
          <w:lang w:eastAsia="da-DK"/>
        </w:rPr>
        <w:t>:</w:t>
      </w:r>
    </w:p>
    <w:p w14:paraId="6ED06D72" w14:textId="77777777" w:rsidR="00DC010B" w:rsidRPr="00577043" w:rsidRDefault="00DC010B" w:rsidP="00DC010B">
      <w:pPr>
        <w:rPr>
          <w:rFonts w:eastAsia="Times New Roman" w:cs="Times New Roman"/>
          <w:color w:val="000000"/>
          <w:lang w:eastAsia="da-DK"/>
        </w:rPr>
      </w:pPr>
      <w:r w:rsidRPr="00577043">
        <w:rPr>
          <w:rFonts w:eastAsia="Times New Roman" w:cs="Times New Roman"/>
          <w:color w:val="000000"/>
          <w:lang w:eastAsia="da-DK"/>
        </w:rPr>
        <w:t xml:space="preserve">”Et uafhængigt organ, som er nedsat i en medlemsstat i overensstemmelse med denne medlemsstats lovgivning og bemyndiget til at afgive udtalelser med henblik på denne forordning under hensyntagen til lægmænds, navnlig patienters eller patientorganisationers synspunkter. ” </w:t>
      </w:r>
    </w:p>
    <w:p w14:paraId="4D03930B" w14:textId="77777777" w:rsidR="00DC010B" w:rsidRPr="00577043" w:rsidRDefault="00DC010B" w:rsidP="00DC010B">
      <w:pPr>
        <w:rPr>
          <w:rFonts w:eastAsia="Times New Roman" w:cs="Times New Roman"/>
          <w:color w:val="000000"/>
          <w:lang w:eastAsia="da-DK"/>
        </w:rPr>
      </w:pPr>
    </w:p>
    <w:p w14:paraId="1D2CE4BD" w14:textId="77777777" w:rsidR="00DC010B" w:rsidRPr="00577043" w:rsidRDefault="00DC010B" w:rsidP="00DC010B">
      <w:pPr>
        <w:rPr>
          <w:rFonts w:eastAsia="Times New Roman" w:cs="Times New Roman"/>
          <w:color w:val="000000"/>
          <w:lang w:eastAsia="da-DK"/>
        </w:rPr>
      </w:pPr>
      <w:r w:rsidRPr="00577043">
        <w:rPr>
          <w:rFonts w:eastAsia="Times New Roman" w:cs="Times New Roman"/>
          <w:color w:val="000000"/>
          <w:lang w:eastAsia="da-DK"/>
        </w:rPr>
        <w:t xml:space="preserve">Det er </w:t>
      </w:r>
      <w:r w:rsidR="00174F91" w:rsidRPr="00577043">
        <w:rPr>
          <w:rFonts w:eastAsia="Times New Roman" w:cs="Times New Roman"/>
          <w:color w:val="000000"/>
          <w:lang w:eastAsia="da-DK"/>
        </w:rPr>
        <w:t>desuden</w:t>
      </w:r>
      <w:r w:rsidR="009256B3" w:rsidRPr="00577043">
        <w:rPr>
          <w:rFonts w:eastAsia="Times New Roman" w:cs="Times New Roman"/>
          <w:color w:val="000000"/>
          <w:lang w:eastAsia="da-DK"/>
        </w:rPr>
        <w:t xml:space="preserve"> fastsat i forordningens art</w:t>
      </w:r>
      <w:r w:rsidR="00522513">
        <w:rPr>
          <w:rFonts w:eastAsia="Times New Roman" w:cs="Times New Roman"/>
          <w:color w:val="000000"/>
          <w:lang w:eastAsia="da-DK"/>
        </w:rPr>
        <w:t>ikel</w:t>
      </w:r>
      <w:r w:rsidRPr="00577043">
        <w:rPr>
          <w:rFonts w:eastAsia="Times New Roman" w:cs="Times New Roman"/>
          <w:color w:val="000000"/>
          <w:lang w:eastAsia="da-DK"/>
        </w:rPr>
        <w:t xml:space="preserve"> 9, stk. 2, at medlemsstaterne s</w:t>
      </w:r>
      <w:r w:rsidR="00865C07">
        <w:rPr>
          <w:rFonts w:eastAsia="Times New Roman" w:cs="Times New Roman"/>
          <w:color w:val="000000"/>
          <w:lang w:eastAsia="da-DK"/>
        </w:rPr>
        <w:t>kal sikre</w:t>
      </w:r>
      <w:r w:rsidRPr="00577043">
        <w:rPr>
          <w:rFonts w:eastAsia="Times New Roman" w:cs="Times New Roman"/>
          <w:color w:val="000000"/>
          <w:lang w:eastAsia="da-DK"/>
        </w:rPr>
        <w:t xml:space="preserve">, at vurderingen </w:t>
      </w:r>
      <w:r w:rsidR="00336A86" w:rsidRPr="00577043">
        <w:rPr>
          <w:rFonts w:eastAsia="Times New Roman" w:cs="Times New Roman"/>
          <w:color w:val="000000"/>
          <w:lang w:eastAsia="da-DK"/>
        </w:rPr>
        <w:t xml:space="preserve">af en ansøgning </w:t>
      </w:r>
      <w:r w:rsidRPr="00577043">
        <w:rPr>
          <w:rFonts w:eastAsia="Times New Roman" w:cs="Times New Roman"/>
          <w:color w:val="000000"/>
          <w:lang w:eastAsia="da-DK"/>
        </w:rPr>
        <w:t>foretages i fællesskab af et rimeligt antal personer, der tilsammen har den nødvendige erfaring og de nødvendige kvalifikationer. Endvidere er det</w:t>
      </w:r>
      <w:r w:rsidR="009256B3" w:rsidRPr="00577043">
        <w:rPr>
          <w:rFonts w:eastAsia="Times New Roman" w:cs="Times New Roman"/>
          <w:color w:val="000000"/>
          <w:lang w:eastAsia="da-DK"/>
        </w:rPr>
        <w:t xml:space="preserve"> fastsat i forordningens art</w:t>
      </w:r>
      <w:r w:rsidR="00522513">
        <w:rPr>
          <w:rFonts w:eastAsia="Times New Roman" w:cs="Times New Roman"/>
          <w:color w:val="000000"/>
          <w:lang w:eastAsia="da-DK"/>
        </w:rPr>
        <w:t>ikel</w:t>
      </w:r>
      <w:r w:rsidR="009256B3" w:rsidRPr="00577043">
        <w:rPr>
          <w:rFonts w:eastAsia="Times New Roman" w:cs="Times New Roman"/>
          <w:color w:val="000000"/>
          <w:lang w:eastAsia="da-DK"/>
        </w:rPr>
        <w:t xml:space="preserve"> 9,</w:t>
      </w:r>
      <w:r w:rsidRPr="00577043">
        <w:rPr>
          <w:rFonts w:eastAsia="Times New Roman" w:cs="Times New Roman"/>
          <w:color w:val="000000"/>
          <w:lang w:eastAsia="da-DK"/>
        </w:rPr>
        <w:t xml:space="preserve"> stk. 3, at mindst én lægmand skal deltage i vurderingen. </w:t>
      </w:r>
    </w:p>
    <w:p w14:paraId="5E4FF509" w14:textId="77777777" w:rsidR="00241CC7" w:rsidRPr="00577043" w:rsidRDefault="00241CC7" w:rsidP="00DC010B">
      <w:pPr>
        <w:rPr>
          <w:rFonts w:eastAsia="Times New Roman" w:cs="Times New Roman"/>
          <w:color w:val="000000"/>
          <w:lang w:eastAsia="da-DK"/>
        </w:rPr>
      </w:pPr>
    </w:p>
    <w:p w14:paraId="3C7833F6" w14:textId="77777777" w:rsidR="00DC010B" w:rsidRPr="00577043" w:rsidRDefault="00DC010B" w:rsidP="00DC010B">
      <w:pPr>
        <w:rPr>
          <w:rFonts w:eastAsia="Times New Roman" w:cs="Times New Roman"/>
          <w:color w:val="000000"/>
          <w:lang w:eastAsia="da-DK"/>
        </w:rPr>
      </w:pPr>
      <w:r w:rsidRPr="00577043">
        <w:rPr>
          <w:rFonts w:eastAsia="Times New Roman" w:cs="Times New Roman"/>
          <w:color w:val="000000"/>
          <w:lang w:eastAsia="da-DK"/>
        </w:rPr>
        <w:t xml:space="preserve">Endelig følger det af forordningens artikel 10, at der skal inddrages særlig ekspertise i forbindelse med forsøg, som involverer sårbare befolkningsgrupper, jf. også bemærkningerne til afsnit 2.1.2. </w:t>
      </w:r>
    </w:p>
    <w:p w14:paraId="6A6E281A" w14:textId="77777777" w:rsidR="00FA3446" w:rsidRPr="00577043" w:rsidRDefault="00FA3446" w:rsidP="00DC010B">
      <w:pPr>
        <w:rPr>
          <w:rFonts w:eastAsia="Times New Roman" w:cs="Times New Roman"/>
          <w:color w:val="000000"/>
          <w:lang w:eastAsia="da-DK"/>
        </w:rPr>
      </w:pPr>
    </w:p>
    <w:p w14:paraId="1F054F14" w14:textId="77777777" w:rsidR="00DC010B" w:rsidRPr="00577043" w:rsidRDefault="00DC010B" w:rsidP="00DC010B">
      <w:pPr>
        <w:rPr>
          <w:rFonts w:eastAsia="Times New Roman" w:cs="Times New Roman"/>
          <w:color w:val="000000"/>
          <w:lang w:eastAsia="da-DK"/>
        </w:rPr>
      </w:pPr>
      <w:r w:rsidRPr="00577043">
        <w:rPr>
          <w:rFonts w:eastAsia="Times New Roman" w:cs="Times New Roman"/>
          <w:color w:val="000000"/>
          <w:lang w:eastAsia="da-DK"/>
        </w:rPr>
        <w:t>Lægemiddelforsøg vil i medfør af forordningen forudsætte en særlig videnskabsetisk procedure, som adskiller sig fra proceduren for andre sundhedsvidenskabelige forskningsprojekter. Det</w:t>
      </w:r>
      <w:r w:rsidR="009C6A8D" w:rsidRPr="00577043">
        <w:rPr>
          <w:rFonts w:eastAsia="Times New Roman" w:cs="Times New Roman"/>
          <w:color w:val="000000"/>
          <w:lang w:eastAsia="da-DK"/>
        </w:rPr>
        <w:t xml:space="preserve">te er baggrunden for forslaget om at </w:t>
      </w:r>
      <w:r w:rsidRPr="00577043">
        <w:rPr>
          <w:rFonts w:eastAsia="Times New Roman" w:cs="Times New Roman"/>
          <w:color w:val="000000"/>
          <w:lang w:eastAsia="da-DK"/>
        </w:rPr>
        <w:t>etablere særskilte komitéer</w:t>
      </w:r>
      <w:r w:rsidR="00865C07">
        <w:rPr>
          <w:rFonts w:eastAsia="Times New Roman" w:cs="Times New Roman"/>
          <w:color w:val="000000"/>
          <w:lang w:eastAsia="da-DK"/>
        </w:rPr>
        <w:t xml:space="preserve">, der skal </w:t>
      </w:r>
      <w:r w:rsidRPr="00577043">
        <w:rPr>
          <w:rFonts w:eastAsia="Times New Roman" w:cs="Times New Roman"/>
          <w:color w:val="000000"/>
          <w:lang w:eastAsia="da-DK"/>
        </w:rPr>
        <w:t xml:space="preserve">varetage </w:t>
      </w:r>
      <w:r w:rsidR="00865C07">
        <w:rPr>
          <w:rFonts w:eastAsia="Times New Roman" w:cs="Times New Roman"/>
          <w:color w:val="000000"/>
          <w:lang w:eastAsia="da-DK"/>
        </w:rPr>
        <w:t xml:space="preserve">alle </w:t>
      </w:r>
      <w:r w:rsidRPr="00577043">
        <w:rPr>
          <w:rFonts w:eastAsia="Times New Roman" w:cs="Times New Roman"/>
          <w:color w:val="000000"/>
          <w:lang w:eastAsia="da-DK"/>
        </w:rPr>
        <w:t xml:space="preserve">ansøgninger </w:t>
      </w:r>
      <w:r w:rsidR="00E53C17">
        <w:rPr>
          <w:rFonts w:eastAsia="Times New Roman" w:cs="Times New Roman"/>
          <w:color w:val="000000"/>
          <w:lang w:eastAsia="da-DK"/>
        </w:rPr>
        <w:t>om</w:t>
      </w:r>
      <w:r w:rsidRPr="00577043">
        <w:rPr>
          <w:rFonts w:eastAsia="Times New Roman" w:cs="Times New Roman"/>
          <w:color w:val="000000"/>
          <w:lang w:eastAsia="da-DK"/>
        </w:rPr>
        <w:t xml:space="preserve"> lægemidler.</w:t>
      </w:r>
    </w:p>
    <w:p w14:paraId="29B77FBE" w14:textId="77777777" w:rsidR="00DC010B" w:rsidRPr="00577043" w:rsidRDefault="00DC010B" w:rsidP="00DC010B">
      <w:pPr>
        <w:rPr>
          <w:rFonts w:eastAsia="Times New Roman" w:cs="Times New Roman"/>
          <w:color w:val="000000"/>
          <w:lang w:eastAsia="da-DK"/>
        </w:rPr>
      </w:pPr>
    </w:p>
    <w:p w14:paraId="7FAC6ED1" w14:textId="77777777" w:rsidR="00DC010B" w:rsidRPr="00577043" w:rsidRDefault="00DC010B" w:rsidP="00DC010B">
      <w:pPr>
        <w:rPr>
          <w:rFonts w:eastAsia="Times New Roman" w:cs="Times New Roman"/>
          <w:color w:val="000000"/>
          <w:lang w:eastAsia="da-DK"/>
        </w:rPr>
      </w:pPr>
      <w:r w:rsidRPr="00577043">
        <w:rPr>
          <w:rFonts w:eastAsia="Times New Roman" w:cs="Times New Roman"/>
          <w:color w:val="000000"/>
          <w:lang w:eastAsia="da-DK"/>
        </w:rPr>
        <w:t>Forordningen indebærer</w:t>
      </w:r>
      <w:r w:rsidR="009C6A8D" w:rsidRPr="00577043">
        <w:rPr>
          <w:rFonts w:eastAsia="Times New Roman" w:cs="Times New Roman"/>
          <w:color w:val="000000"/>
          <w:lang w:eastAsia="da-DK"/>
        </w:rPr>
        <w:t xml:space="preserve"> endvidere</w:t>
      </w:r>
      <w:r w:rsidRPr="00577043">
        <w:rPr>
          <w:rFonts w:eastAsia="Times New Roman" w:cs="Times New Roman"/>
          <w:color w:val="000000"/>
          <w:lang w:eastAsia="da-DK"/>
        </w:rPr>
        <w:t xml:space="preserve">, at ansøgningerne skal behandles inden for korte tidsfrister, og at dette sker i et tæt samarbejde mellem det videnskabsetiske komitésystem og </w:t>
      </w:r>
      <w:r w:rsidR="0058651B">
        <w:rPr>
          <w:rFonts w:eastAsia="Times New Roman" w:cs="Times New Roman"/>
          <w:color w:val="000000"/>
          <w:lang w:eastAsia="da-DK"/>
        </w:rPr>
        <w:t>Lægemiddelstyrelsen</w:t>
      </w:r>
      <w:r w:rsidR="00F16F4B">
        <w:rPr>
          <w:rFonts w:eastAsia="Times New Roman" w:cs="Times New Roman"/>
          <w:color w:val="000000"/>
          <w:lang w:eastAsia="da-DK"/>
        </w:rPr>
        <w:t xml:space="preserve">. </w:t>
      </w:r>
      <w:r w:rsidR="00652F76">
        <w:rPr>
          <w:rFonts w:eastAsia="Times New Roman" w:cs="Times New Roman"/>
          <w:color w:val="000000"/>
          <w:lang w:eastAsia="da-DK"/>
        </w:rPr>
        <w:t xml:space="preserve">Forordningen medfører </w:t>
      </w:r>
      <w:r w:rsidR="00E242B9">
        <w:rPr>
          <w:rFonts w:eastAsia="Times New Roman" w:cs="Times New Roman"/>
          <w:color w:val="000000"/>
          <w:lang w:eastAsia="da-DK"/>
        </w:rPr>
        <w:t>også</w:t>
      </w:r>
      <w:r w:rsidR="00652F76">
        <w:rPr>
          <w:rFonts w:eastAsia="Times New Roman" w:cs="Times New Roman"/>
          <w:color w:val="000000"/>
          <w:lang w:eastAsia="da-DK"/>
        </w:rPr>
        <w:t xml:space="preserve">, at behandlingen </w:t>
      </w:r>
      <w:r w:rsidR="006D61B1">
        <w:rPr>
          <w:rFonts w:eastAsia="Times New Roman" w:cs="Times New Roman"/>
          <w:color w:val="000000"/>
          <w:lang w:eastAsia="da-DK"/>
        </w:rPr>
        <w:t>a</w:t>
      </w:r>
      <w:r w:rsidR="00652F76">
        <w:rPr>
          <w:rFonts w:eastAsia="Times New Roman" w:cs="Times New Roman"/>
          <w:color w:val="000000"/>
          <w:lang w:eastAsia="da-DK"/>
        </w:rPr>
        <w:t>f en ansøgning skal koordineres med de øvrige berørte medlemsstater (medlemsstater, som et forsøg ønskes gennemført i)</w:t>
      </w:r>
      <w:r w:rsidR="00652F76" w:rsidRPr="00577043">
        <w:rPr>
          <w:rFonts w:eastAsia="Times New Roman" w:cs="Times New Roman"/>
          <w:color w:val="000000"/>
          <w:lang w:eastAsia="da-DK"/>
        </w:rPr>
        <w:t xml:space="preserve">. </w:t>
      </w:r>
      <w:r w:rsidR="009C6A8D" w:rsidRPr="00577043">
        <w:rPr>
          <w:rFonts w:eastAsia="Times New Roman" w:cs="Times New Roman"/>
          <w:color w:val="000000"/>
          <w:lang w:eastAsia="da-DK"/>
        </w:rPr>
        <w:t>Det foreslås på den baggrund</w:t>
      </w:r>
      <w:r w:rsidRPr="00577043">
        <w:rPr>
          <w:rFonts w:eastAsia="Times New Roman" w:cs="Times New Roman"/>
          <w:color w:val="000000"/>
          <w:lang w:eastAsia="da-DK"/>
        </w:rPr>
        <w:t>, at den videnskabsetiske vurdering af lægemiddelforsøg centraliseres</w:t>
      </w:r>
      <w:r w:rsidR="009C6A8D" w:rsidRPr="00577043">
        <w:rPr>
          <w:rFonts w:eastAsia="Times New Roman" w:cs="Times New Roman"/>
          <w:color w:val="000000"/>
          <w:lang w:eastAsia="da-DK"/>
        </w:rPr>
        <w:t xml:space="preserve">, </w:t>
      </w:r>
      <w:r w:rsidR="00B345EF" w:rsidRPr="00577043">
        <w:rPr>
          <w:rFonts w:eastAsia="Times New Roman" w:cs="Times New Roman"/>
          <w:color w:val="000000"/>
          <w:lang w:eastAsia="da-DK"/>
        </w:rPr>
        <w:t xml:space="preserve">og at et enkelt sekretariat varetager sagsbehandlingen i de videnskabsetiske lægemiddelkomiteer, </w:t>
      </w:r>
      <w:r w:rsidR="009C6A8D" w:rsidRPr="00577043">
        <w:rPr>
          <w:rFonts w:eastAsia="Times New Roman" w:cs="Times New Roman"/>
          <w:color w:val="000000"/>
          <w:lang w:eastAsia="da-DK"/>
        </w:rPr>
        <w:t>da dette</w:t>
      </w:r>
      <w:r w:rsidR="00B345EF" w:rsidRPr="00577043">
        <w:rPr>
          <w:rFonts w:eastAsia="Times New Roman" w:cs="Times New Roman"/>
          <w:color w:val="000000"/>
          <w:lang w:eastAsia="da-DK"/>
        </w:rPr>
        <w:t xml:space="preserve"> vil skabe et godt grundlag for et effektivt samarbejde mellem komitésystemet og </w:t>
      </w:r>
      <w:r w:rsidR="0058651B">
        <w:rPr>
          <w:rFonts w:eastAsia="Times New Roman" w:cs="Times New Roman"/>
          <w:color w:val="000000"/>
          <w:lang w:eastAsia="da-DK"/>
        </w:rPr>
        <w:t>Lægemiddelstyrelsen</w:t>
      </w:r>
      <w:r w:rsidR="00652F76">
        <w:rPr>
          <w:rFonts w:eastAsia="Times New Roman" w:cs="Times New Roman"/>
          <w:color w:val="000000"/>
          <w:lang w:eastAsia="da-DK"/>
        </w:rPr>
        <w:t xml:space="preserve"> samt for koordineringen med de øvrige berørte medlemsstater</w:t>
      </w:r>
      <w:r w:rsidR="00B345EF" w:rsidRPr="00577043">
        <w:rPr>
          <w:rFonts w:eastAsia="Times New Roman" w:cs="Times New Roman"/>
          <w:color w:val="000000"/>
          <w:lang w:eastAsia="da-DK"/>
        </w:rPr>
        <w:t>.</w:t>
      </w:r>
      <w:r w:rsidRPr="00577043">
        <w:rPr>
          <w:rFonts w:eastAsia="Times New Roman" w:cs="Times New Roman"/>
          <w:color w:val="000000"/>
          <w:lang w:eastAsia="da-DK"/>
        </w:rPr>
        <w:t xml:space="preserve"> </w:t>
      </w:r>
    </w:p>
    <w:p w14:paraId="15243D1E" w14:textId="77777777" w:rsidR="00DC010B" w:rsidRPr="00577043" w:rsidRDefault="00DC010B" w:rsidP="00DC010B">
      <w:pPr>
        <w:rPr>
          <w:rFonts w:eastAsia="Times New Roman" w:cs="Times New Roman"/>
          <w:color w:val="000000"/>
          <w:lang w:eastAsia="da-DK"/>
        </w:rPr>
      </w:pPr>
    </w:p>
    <w:p w14:paraId="2A495EAC" w14:textId="77777777" w:rsidR="00DC010B" w:rsidRPr="00577043" w:rsidRDefault="00DC010B" w:rsidP="00DC010B">
      <w:pPr>
        <w:rPr>
          <w:rFonts w:eastAsia="Times New Roman" w:cs="Times New Roman"/>
          <w:color w:val="000000"/>
          <w:lang w:eastAsia="da-DK"/>
        </w:rPr>
      </w:pPr>
      <w:r w:rsidRPr="00577043">
        <w:rPr>
          <w:rFonts w:eastAsia="Times New Roman" w:cs="Times New Roman"/>
          <w:color w:val="000000"/>
          <w:lang w:eastAsia="da-DK"/>
        </w:rPr>
        <w:lastRenderedPageBreak/>
        <w:t>Det vurderes desuden, at behovet for en specialiseret og centraliseret tilrettelæggelse af den videnskabsetiske vurdering af lægemiddelforsøg forstærkes i det omfang Danmark varetager funktionen som rapporterende medlemsstat, der skal koordinere de øvrige landes vurderinger.</w:t>
      </w:r>
    </w:p>
    <w:p w14:paraId="5BC1BDDB" w14:textId="77777777" w:rsidR="00DC010B" w:rsidRPr="00577043" w:rsidRDefault="00DC010B" w:rsidP="00DC010B">
      <w:pPr>
        <w:rPr>
          <w:rFonts w:eastAsia="Times New Roman" w:cs="Times New Roman"/>
          <w:color w:val="000000"/>
          <w:lang w:eastAsia="da-DK"/>
        </w:rPr>
      </w:pPr>
    </w:p>
    <w:p w14:paraId="329D5E70" w14:textId="77777777" w:rsidR="00DC010B" w:rsidRPr="00577043" w:rsidRDefault="00DC010B" w:rsidP="00DC010B">
      <w:pPr>
        <w:rPr>
          <w:rFonts w:eastAsia="Times New Roman" w:cs="Times New Roman"/>
          <w:color w:val="000000"/>
          <w:lang w:eastAsia="da-DK"/>
        </w:rPr>
      </w:pPr>
      <w:r w:rsidRPr="00577043">
        <w:rPr>
          <w:rFonts w:eastAsia="Times New Roman" w:cs="Times New Roman"/>
          <w:color w:val="000000"/>
          <w:lang w:eastAsia="da-DK"/>
        </w:rPr>
        <w:t xml:space="preserve">Det foreslås på den baggrund med § </w:t>
      </w:r>
      <w:r w:rsidR="008D06EB">
        <w:rPr>
          <w:rFonts w:eastAsia="Times New Roman" w:cs="Times New Roman"/>
          <w:color w:val="000000"/>
          <w:lang w:eastAsia="da-DK"/>
        </w:rPr>
        <w:t>5</w:t>
      </w:r>
      <w:r w:rsidRPr="00577043">
        <w:rPr>
          <w:rFonts w:eastAsia="Times New Roman" w:cs="Times New Roman"/>
          <w:color w:val="000000"/>
          <w:lang w:eastAsia="da-DK"/>
        </w:rPr>
        <w:t xml:space="preserve">, at </w:t>
      </w:r>
      <w:r w:rsidR="00A22EAD" w:rsidRPr="00577043">
        <w:rPr>
          <w:rFonts w:eastAsia="Times New Roman" w:cs="Times New Roman"/>
          <w:color w:val="000000"/>
          <w:lang w:eastAsia="da-DK"/>
        </w:rPr>
        <w:t>sundheds- og ældreministeren</w:t>
      </w:r>
      <w:r w:rsidRPr="00577043">
        <w:rPr>
          <w:rFonts w:eastAsia="Times New Roman" w:cs="Times New Roman"/>
          <w:color w:val="000000"/>
          <w:lang w:eastAsia="da-DK"/>
        </w:rPr>
        <w:t xml:space="preserve"> får bemyndigelse til at nedsætte én eller flere lægemiddelkomiteer</w:t>
      </w:r>
      <w:r w:rsidR="003A33DD">
        <w:rPr>
          <w:rFonts w:eastAsia="Times New Roman" w:cs="Times New Roman"/>
          <w:color w:val="000000"/>
          <w:lang w:eastAsia="da-DK"/>
        </w:rPr>
        <w:t xml:space="preserve">.  </w:t>
      </w:r>
      <w:r w:rsidR="001C771C" w:rsidRPr="00577043">
        <w:rPr>
          <w:rFonts w:eastAsia="Times New Roman" w:cs="Times New Roman"/>
          <w:color w:val="000000"/>
          <w:lang w:eastAsia="da-DK"/>
        </w:rPr>
        <w:t>De videnskabsetiske lægemiddelkomiteer nedsættes som uafhængige myndigheder</w:t>
      </w:r>
      <w:r w:rsidR="004B2937">
        <w:rPr>
          <w:rFonts w:eastAsia="Times New Roman" w:cs="Times New Roman"/>
          <w:color w:val="000000"/>
          <w:lang w:eastAsia="da-DK"/>
        </w:rPr>
        <w:t>, der placeres</w:t>
      </w:r>
      <w:r w:rsidR="001C771C" w:rsidRPr="00577043">
        <w:rPr>
          <w:rFonts w:eastAsia="Times New Roman" w:cs="Times New Roman"/>
          <w:color w:val="000000"/>
          <w:lang w:eastAsia="da-DK"/>
        </w:rPr>
        <w:t xml:space="preserve"> organisatorisk under </w:t>
      </w:r>
      <w:r w:rsidR="00A22EAD" w:rsidRPr="00577043">
        <w:rPr>
          <w:rFonts w:eastAsia="Times New Roman" w:cs="Times New Roman"/>
          <w:color w:val="000000"/>
          <w:lang w:eastAsia="da-DK"/>
        </w:rPr>
        <w:t>Sundheds- og Ældreministeriet</w:t>
      </w:r>
      <w:r w:rsidR="003A33DD">
        <w:rPr>
          <w:rFonts w:eastAsia="Times New Roman" w:cs="Times New Roman"/>
          <w:color w:val="000000"/>
          <w:lang w:eastAsia="da-DK"/>
        </w:rPr>
        <w:t>, på samme måde som Den Nationale Videnskabsetiske Komité (DNVK)</w:t>
      </w:r>
      <w:r w:rsidR="001C771C" w:rsidRPr="00577043">
        <w:rPr>
          <w:rFonts w:eastAsia="Times New Roman" w:cs="Times New Roman"/>
          <w:color w:val="000000"/>
          <w:lang w:eastAsia="da-DK"/>
        </w:rPr>
        <w:t xml:space="preserve">. </w:t>
      </w:r>
      <w:r w:rsidRPr="00577043">
        <w:rPr>
          <w:rFonts w:eastAsia="Times New Roman" w:cs="Times New Roman"/>
          <w:color w:val="000000"/>
          <w:lang w:eastAsia="da-DK"/>
        </w:rPr>
        <w:t xml:space="preserve">Sekretariatsbetjeningen kan varetages af DNVK’s sekretariat, som har erfaring med en indgående forberedelse af den videnskabsetiske vurdering af ansøgninger, </w:t>
      </w:r>
      <w:r w:rsidR="001F1E13">
        <w:rPr>
          <w:rFonts w:eastAsia="Times New Roman" w:cs="Times New Roman"/>
          <w:color w:val="000000"/>
          <w:lang w:eastAsia="da-DK"/>
        </w:rPr>
        <w:t>der</w:t>
      </w:r>
      <w:r w:rsidRPr="00577043">
        <w:rPr>
          <w:rFonts w:eastAsia="Times New Roman" w:cs="Times New Roman"/>
          <w:color w:val="000000"/>
          <w:lang w:eastAsia="da-DK"/>
        </w:rPr>
        <w:t xml:space="preserve"> omfatter særligt komplekse områder. </w:t>
      </w:r>
    </w:p>
    <w:p w14:paraId="5A3CCD65" w14:textId="77777777" w:rsidR="00DC010B" w:rsidRPr="00577043" w:rsidRDefault="00DC010B" w:rsidP="00CB2276">
      <w:pPr>
        <w:rPr>
          <w:rFonts w:eastAsia="Times New Roman" w:cs="Times New Roman"/>
          <w:color w:val="000000"/>
          <w:lang w:eastAsia="da-DK"/>
        </w:rPr>
      </w:pPr>
    </w:p>
    <w:p w14:paraId="69A08C4E" w14:textId="77777777" w:rsidR="00512DB7" w:rsidRDefault="00512DB7" w:rsidP="00512DB7">
      <w:pPr>
        <w:rPr>
          <w:rFonts w:eastAsia="Times New Roman" w:cs="Times New Roman"/>
          <w:color w:val="000000"/>
          <w:lang w:eastAsia="da-DK"/>
        </w:rPr>
      </w:pPr>
      <w:r w:rsidRPr="00577043">
        <w:rPr>
          <w:rFonts w:eastAsia="Times New Roman" w:cs="Times New Roman"/>
          <w:color w:val="000000"/>
          <w:lang w:eastAsia="da-DK"/>
        </w:rPr>
        <w:t xml:space="preserve">Det vurderes bl.a. i lyset af de skærpede tidsfrister for vurdering af ansøgningerne, at det er hensigtsmæssigt, at </w:t>
      </w:r>
      <w:r w:rsidR="009940C8">
        <w:rPr>
          <w:rFonts w:eastAsia="Times New Roman" w:cs="Times New Roman"/>
          <w:color w:val="000000"/>
          <w:lang w:eastAsia="da-DK"/>
        </w:rPr>
        <w:t xml:space="preserve">de videnskabsetiske </w:t>
      </w:r>
      <w:r w:rsidRPr="00577043">
        <w:rPr>
          <w:rFonts w:eastAsia="Times New Roman" w:cs="Times New Roman"/>
          <w:color w:val="000000"/>
          <w:lang w:eastAsia="da-DK"/>
        </w:rPr>
        <w:t xml:space="preserve">komiteer har en begrænset størrelse for at sikre, at komiteernes medlemmer har mulighed for at mødes og foretage en fælles vurdering inden for de givne tidsfrister. Det foreslås </w:t>
      </w:r>
      <w:r w:rsidR="005570EF">
        <w:rPr>
          <w:rFonts w:eastAsia="Times New Roman" w:cs="Times New Roman"/>
          <w:color w:val="000000"/>
          <w:lang w:eastAsia="da-DK"/>
        </w:rPr>
        <w:t xml:space="preserve">derfor med § </w:t>
      </w:r>
      <w:r w:rsidR="008D06EB">
        <w:rPr>
          <w:rFonts w:eastAsia="Times New Roman" w:cs="Times New Roman"/>
          <w:color w:val="000000"/>
          <w:lang w:eastAsia="da-DK"/>
        </w:rPr>
        <w:t>6</w:t>
      </w:r>
      <w:r w:rsidR="005570EF">
        <w:rPr>
          <w:rFonts w:eastAsia="Times New Roman" w:cs="Times New Roman"/>
          <w:color w:val="000000"/>
          <w:lang w:eastAsia="da-DK"/>
        </w:rPr>
        <w:t>, stk. 1</w:t>
      </w:r>
      <w:r w:rsidRPr="00577043">
        <w:rPr>
          <w:rFonts w:eastAsia="Times New Roman" w:cs="Times New Roman"/>
          <w:color w:val="000000"/>
          <w:lang w:eastAsia="da-DK"/>
        </w:rPr>
        <w:t xml:space="preserve">, at de enkelte komiteer består af 8 medlemmer. </w:t>
      </w:r>
    </w:p>
    <w:p w14:paraId="4F338CC3" w14:textId="77777777" w:rsidR="005570EF" w:rsidRDefault="005570EF" w:rsidP="005570EF">
      <w:pPr>
        <w:rPr>
          <w:rFonts w:eastAsia="Times New Roman" w:cs="Times New Roman"/>
          <w:color w:val="000000"/>
          <w:lang w:eastAsia="da-DK"/>
        </w:rPr>
      </w:pPr>
    </w:p>
    <w:p w14:paraId="07ABFB6C" w14:textId="77777777" w:rsidR="00524461" w:rsidRPr="00577043" w:rsidRDefault="0045292F" w:rsidP="00524461">
      <w:pPr>
        <w:rPr>
          <w:rFonts w:eastAsia="Times New Roman" w:cs="Times New Roman"/>
          <w:color w:val="000000"/>
          <w:lang w:eastAsia="da-DK"/>
        </w:rPr>
      </w:pPr>
      <w:r w:rsidRPr="00577043">
        <w:rPr>
          <w:rFonts w:eastAsia="Times New Roman" w:cs="Times New Roman"/>
          <w:color w:val="000000"/>
          <w:lang w:eastAsia="da-DK"/>
        </w:rPr>
        <w:t>Det foreslås</w:t>
      </w:r>
      <w:r w:rsidR="005570EF">
        <w:rPr>
          <w:rFonts w:eastAsia="Times New Roman" w:cs="Times New Roman"/>
          <w:color w:val="000000"/>
          <w:lang w:eastAsia="da-DK"/>
        </w:rPr>
        <w:t xml:space="preserve"> med § </w:t>
      </w:r>
      <w:r w:rsidR="008D06EB">
        <w:rPr>
          <w:rFonts w:eastAsia="Times New Roman" w:cs="Times New Roman"/>
          <w:color w:val="000000"/>
          <w:lang w:eastAsia="da-DK"/>
        </w:rPr>
        <w:t>6</w:t>
      </w:r>
      <w:r w:rsidR="005570EF">
        <w:rPr>
          <w:rFonts w:eastAsia="Times New Roman" w:cs="Times New Roman"/>
          <w:color w:val="000000"/>
          <w:lang w:eastAsia="da-DK"/>
        </w:rPr>
        <w:t>, stk. 1, nr. 2</w:t>
      </w:r>
      <w:r w:rsidR="00524461" w:rsidRPr="00577043">
        <w:rPr>
          <w:rFonts w:eastAsia="Times New Roman" w:cs="Times New Roman"/>
          <w:color w:val="000000"/>
          <w:lang w:eastAsia="da-DK"/>
        </w:rPr>
        <w:t xml:space="preserve">, at 5 medlemmer i de videnskabsetiske lægemiddelkomiteer udpeges efter indstilling fra regionerne, således at komiteerne, som behandler ansøgninger om lægemiddelforsøg, fortsat har en regional forankring. </w:t>
      </w:r>
    </w:p>
    <w:p w14:paraId="6BD904E5" w14:textId="77777777" w:rsidR="00512DB7" w:rsidRDefault="00512DB7" w:rsidP="00CB2276">
      <w:pPr>
        <w:rPr>
          <w:rFonts w:eastAsia="Times New Roman" w:cs="Times New Roman"/>
          <w:color w:val="000000"/>
          <w:lang w:eastAsia="da-DK"/>
        </w:rPr>
      </w:pPr>
    </w:p>
    <w:p w14:paraId="7F9DBAE6" w14:textId="77777777" w:rsidR="00512DB7" w:rsidRDefault="0012771F" w:rsidP="00512DB7">
      <w:pPr>
        <w:rPr>
          <w:rFonts w:eastAsia="Times New Roman" w:cs="Times New Roman"/>
          <w:color w:val="000000"/>
          <w:lang w:eastAsia="da-DK"/>
        </w:rPr>
      </w:pPr>
      <w:r>
        <w:rPr>
          <w:rFonts w:eastAsia="Times New Roman" w:cs="Times New Roman"/>
          <w:color w:val="000000"/>
          <w:lang w:eastAsia="da-DK"/>
        </w:rPr>
        <w:t>D</w:t>
      </w:r>
      <w:r w:rsidR="00512DB7">
        <w:rPr>
          <w:rFonts w:eastAsia="Times New Roman" w:cs="Times New Roman"/>
          <w:color w:val="000000"/>
          <w:lang w:eastAsia="da-DK"/>
        </w:rPr>
        <w:t xml:space="preserve">en videnskabsetiske vurdering af ansøgninger i medfør af forordningen </w:t>
      </w:r>
      <w:r>
        <w:rPr>
          <w:rFonts w:eastAsia="Times New Roman" w:cs="Times New Roman"/>
          <w:color w:val="000000"/>
          <w:lang w:eastAsia="da-DK"/>
        </w:rPr>
        <w:t xml:space="preserve">skal </w:t>
      </w:r>
      <w:r w:rsidR="00512DB7">
        <w:rPr>
          <w:rFonts w:eastAsia="Times New Roman" w:cs="Times New Roman"/>
          <w:color w:val="000000"/>
          <w:lang w:eastAsia="da-DK"/>
        </w:rPr>
        <w:t>ske under hensyntagen til patienters eller patientorganisationers synspunkter, jf. ovenfor. Forordningen stiller ikke krav om omfanget af patientrepræsentanters inddragelse. Med henblik på at opfylde dette krav foreslås det, at der udpeges repræsentanter fra patientorganisationer til den videnskabsetiske lægemiddelkomité. Det foreslås</w:t>
      </w:r>
      <w:r>
        <w:rPr>
          <w:rFonts w:eastAsia="Times New Roman" w:cs="Times New Roman"/>
          <w:color w:val="000000"/>
          <w:lang w:eastAsia="da-DK"/>
        </w:rPr>
        <w:t xml:space="preserve"> med § </w:t>
      </w:r>
      <w:r w:rsidR="008D06EB">
        <w:rPr>
          <w:rFonts w:eastAsia="Times New Roman" w:cs="Times New Roman"/>
          <w:color w:val="000000"/>
          <w:lang w:eastAsia="da-DK"/>
        </w:rPr>
        <w:t>6</w:t>
      </w:r>
      <w:r>
        <w:rPr>
          <w:rFonts w:eastAsia="Times New Roman" w:cs="Times New Roman"/>
          <w:color w:val="000000"/>
          <w:lang w:eastAsia="da-DK"/>
        </w:rPr>
        <w:t>, stk. 1, nr. 3</w:t>
      </w:r>
      <w:r w:rsidR="00512DB7">
        <w:rPr>
          <w:rFonts w:eastAsia="Times New Roman" w:cs="Times New Roman"/>
          <w:color w:val="000000"/>
          <w:lang w:eastAsia="da-DK"/>
        </w:rPr>
        <w:t>, at der skal udpeges to patientrepræsentanter, da komiteen dermed samlet vil have 8 medlemmer, og dermed grundlag for en ligelig fordeling af lægrepræsentanter og personer, som er aktive inden for sundhedsfaglig forskning.</w:t>
      </w:r>
    </w:p>
    <w:p w14:paraId="6118178B" w14:textId="77777777" w:rsidR="00EE7B65" w:rsidRPr="00577043" w:rsidRDefault="00EE7B65" w:rsidP="00EE7B65">
      <w:pPr>
        <w:rPr>
          <w:rFonts w:eastAsia="Times New Roman" w:cs="Times New Roman"/>
          <w:color w:val="000000"/>
          <w:lang w:eastAsia="da-DK"/>
        </w:rPr>
      </w:pPr>
    </w:p>
    <w:p w14:paraId="744C116D" w14:textId="77777777" w:rsidR="00EE7B65" w:rsidRPr="00577043" w:rsidRDefault="003C4CF6" w:rsidP="00EE7B65">
      <w:pPr>
        <w:rPr>
          <w:rFonts w:eastAsia="Times New Roman" w:cs="Times New Roman"/>
          <w:color w:val="000000"/>
          <w:lang w:eastAsia="da-DK"/>
        </w:rPr>
      </w:pPr>
      <w:r w:rsidRPr="00577043">
        <w:rPr>
          <w:rFonts w:eastAsia="Times New Roman" w:cs="Times New Roman"/>
          <w:color w:val="000000"/>
          <w:lang w:eastAsia="da-DK"/>
        </w:rPr>
        <w:t xml:space="preserve">Det vurderes, at det i forbindelse med </w:t>
      </w:r>
      <w:r w:rsidR="00A96972">
        <w:rPr>
          <w:rFonts w:eastAsia="Times New Roman" w:cs="Times New Roman"/>
          <w:color w:val="000000"/>
          <w:lang w:eastAsia="da-DK"/>
        </w:rPr>
        <w:t>behandling</w:t>
      </w:r>
      <w:r w:rsidRPr="00577043">
        <w:rPr>
          <w:rFonts w:eastAsia="Times New Roman" w:cs="Times New Roman"/>
          <w:color w:val="000000"/>
          <w:lang w:eastAsia="da-DK"/>
        </w:rPr>
        <w:t xml:space="preserve"> af ansøgninger om kliniske forsøg med lægemidler efter reglerne i forordningen vil være hensigtsmæssigt, at der er et tilstrækkeligt antal personer med faglige kompetencer </w:t>
      </w:r>
      <w:r w:rsidR="00AA6B0A">
        <w:rPr>
          <w:rFonts w:eastAsia="Times New Roman" w:cs="Times New Roman"/>
          <w:color w:val="000000"/>
          <w:lang w:eastAsia="da-DK"/>
        </w:rPr>
        <w:t>med henblik på,</w:t>
      </w:r>
      <w:r w:rsidRPr="00577043">
        <w:rPr>
          <w:rFonts w:eastAsia="Times New Roman" w:cs="Times New Roman"/>
          <w:color w:val="000000"/>
          <w:lang w:eastAsia="da-DK"/>
        </w:rPr>
        <w:t xml:space="preserve"> at </w:t>
      </w:r>
      <w:r w:rsidR="00AA6B0A">
        <w:rPr>
          <w:rFonts w:eastAsia="Times New Roman" w:cs="Times New Roman"/>
          <w:color w:val="000000"/>
          <w:lang w:eastAsia="da-DK"/>
        </w:rPr>
        <w:t xml:space="preserve">komiteen kan </w:t>
      </w:r>
      <w:r w:rsidRPr="00577043">
        <w:rPr>
          <w:rFonts w:eastAsia="Times New Roman" w:cs="Times New Roman"/>
          <w:color w:val="000000"/>
          <w:lang w:eastAsia="da-DK"/>
        </w:rPr>
        <w:t>foretage en vurdering af den videnskabelige metode m</w:t>
      </w:r>
      <w:r w:rsidR="00094421">
        <w:rPr>
          <w:rFonts w:eastAsia="Times New Roman" w:cs="Times New Roman"/>
          <w:color w:val="000000"/>
          <w:lang w:eastAsia="da-DK"/>
        </w:rPr>
        <w:t>.</w:t>
      </w:r>
      <w:r w:rsidRPr="00577043">
        <w:rPr>
          <w:rFonts w:eastAsia="Times New Roman" w:cs="Times New Roman"/>
          <w:color w:val="000000"/>
          <w:lang w:eastAsia="da-DK"/>
        </w:rPr>
        <w:t>v. indenfor de korte tidsfrister. For at tilgodese dette hensyn, foreslås det derfor, at 4 medlemmer i en komité skal være aktive inden for sundhedsvidenskabelig forskning</w:t>
      </w:r>
      <w:r w:rsidR="00DA11ED">
        <w:rPr>
          <w:rFonts w:eastAsia="Times New Roman" w:cs="Times New Roman"/>
          <w:color w:val="000000"/>
          <w:lang w:eastAsia="da-DK"/>
        </w:rPr>
        <w:t>, jf. § , stk. 2 og 5</w:t>
      </w:r>
      <w:r w:rsidRPr="00577043">
        <w:rPr>
          <w:rFonts w:eastAsia="Times New Roman" w:cs="Times New Roman"/>
          <w:color w:val="000000"/>
          <w:lang w:eastAsia="da-DK"/>
        </w:rPr>
        <w:t xml:space="preserve">. </w:t>
      </w:r>
      <w:r w:rsidR="000F2D9F">
        <w:rPr>
          <w:rFonts w:eastAsia="Times New Roman" w:cs="Times New Roman"/>
          <w:color w:val="000000"/>
          <w:lang w:eastAsia="da-DK"/>
        </w:rPr>
        <w:t>Samtidig foreslås det, at de øvrige 4 medlemmer skal være lægemedlemmer</w:t>
      </w:r>
      <w:r w:rsidR="00DA11ED">
        <w:rPr>
          <w:rFonts w:eastAsia="Times New Roman" w:cs="Times New Roman"/>
          <w:color w:val="000000"/>
          <w:lang w:eastAsia="da-DK"/>
        </w:rPr>
        <w:t>, jf. § , stk. 5</w:t>
      </w:r>
      <w:r w:rsidR="000F2D9F">
        <w:rPr>
          <w:rFonts w:eastAsia="Times New Roman" w:cs="Times New Roman"/>
          <w:color w:val="000000"/>
          <w:lang w:eastAsia="da-DK"/>
        </w:rPr>
        <w:t xml:space="preserve">. </w:t>
      </w:r>
      <w:r w:rsidR="00B4245C" w:rsidRPr="00577043">
        <w:rPr>
          <w:rFonts w:eastAsia="Times New Roman" w:cs="Times New Roman"/>
          <w:color w:val="000000"/>
          <w:lang w:eastAsia="da-DK"/>
        </w:rPr>
        <w:t xml:space="preserve">Med kravet om lægmedlemsrepræsentation tilstræbes at sikre en nuanceret debat, idet lægmedlemmer kan bidrage med synspunkter uafhængigt af andre interesser. </w:t>
      </w:r>
      <w:r w:rsidR="00EE7B65" w:rsidRPr="00577043">
        <w:rPr>
          <w:rFonts w:eastAsia="Times New Roman" w:cs="Times New Roman"/>
          <w:color w:val="000000"/>
          <w:lang w:eastAsia="da-DK"/>
        </w:rPr>
        <w:t>En ligelig fordeling af lægpersoner og personer</w:t>
      </w:r>
      <w:r w:rsidR="000F2D9F">
        <w:rPr>
          <w:rFonts w:eastAsia="Times New Roman" w:cs="Times New Roman"/>
          <w:color w:val="000000"/>
          <w:lang w:eastAsia="da-DK"/>
        </w:rPr>
        <w:t>,</w:t>
      </w:r>
      <w:r w:rsidR="00EE7B65" w:rsidRPr="00577043">
        <w:rPr>
          <w:rFonts w:eastAsia="Times New Roman" w:cs="Times New Roman"/>
          <w:color w:val="000000"/>
          <w:lang w:eastAsia="da-DK"/>
        </w:rPr>
        <w:t xml:space="preserve"> som er aktive inden for den sundhedsvidenskabelige forskning, skal dels sikre at vurderingerne kvalificeres ud fra generelle etiske betragtninger samtidig med, at de forskningsmæssige perspektiver inddrages i den videnskabsetiske vurdering. </w:t>
      </w:r>
    </w:p>
    <w:p w14:paraId="25456BF3" w14:textId="77777777" w:rsidR="006739E3" w:rsidRPr="00577043" w:rsidRDefault="006739E3" w:rsidP="00CB2276">
      <w:pPr>
        <w:rPr>
          <w:rFonts w:eastAsia="Times New Roman" w:cs="Times New Roman"/>
          <w:color w:val="000000"/>
          <w:lang w:eastAsia="da-DK"/>
        </w:rPr>
      </w:pPr>
    </w:p>
    <w:p w14:paraId="734B0BBC" w14:textId="77777777" w:rsidR="005A1116" w:rsidRPr="00577043" w:rsidRDefault="00EE7B65" w:rsidP="005A1116">
      <w:pPr>
        <w:rPr>
          <w:rFonts w:eastAsia="Times New Roman" w:cs="Times New Roman"/>
          <w:color w:val="000000"/>
          <w:lang w:eastAsia="da-DK"/>
        </w:rPr>
      </w:pPr>
      <w:r w:rsidRPr="00577043">
        <w:rPr>
          <w:rFonts w:eastAsia="Times New Roman" w:cs="Times New Roman"/>
          <w:color w:val="000000"/>
          <w:lang w:eastAsia="da-DK"/>
        </w:rPr>
        <w:t>Det foreslås, at formanden skal være aktiv inden for sundhedsvidenskabelig forskning med henblik på at sikre, at formanden har en faglig indsigt i projekterne</w:t>
      </w:r>
      <w:r w:rsidR="003C24A8">
        <w:rPr>
          <w:rFonts w:eastAsia="Times New Roman" w:cs="Times New Roman"/>
          <w:color w:val="000000"/>
          <w:lang w:eastAsia="da-DK"/>
        </w:rPr>
        <w:t xml:space="preserve">, jf. § </w:t>
      </w:r>
      <w:r w:rsidR="008D06EB">
        <w:rPr>
          <w:rFonts w:eastAsia="Times New Roman" w:cs="Times New Roman"/>
          <w:color w:val="000000"/>
          <w:lang w:eastAsia="da-DK"/>
        </w:rPr>
        <w:t>6</w:t>
      </w:r>
      <w:r w:rsidR="003C24A8">
        <w:rPr>
          <w:rFonts w:eastAsia="Times New Roman" w:cs="Times New Roman"/>
          <w:color w:val="000000"/>
          <w:lang w:eastAsia="da-DK"/>
        </w:rPr>
        <w:t>, stk. 2</w:t>
      </w:r>
      <w:r w:rsidRPr="00577043">
        <w:rPr>
          <w:rFonts w:eastAsia="Times New Roman" w:cs="Times New Roman"/>
          <w:color w:val="000000"/>
          <w:lang w:eastAsia="da-DK"/>
        </w:rPr>
        <w:t xml:space="preserve">. Dette er hensigtsmæssigt i lyset af formandens særlige rolle i komiteen, herunder i de sager, hvor komiteens kompetence til at træffe afgørelse delegeres til formanden, jf. nedenfor. </w:t>
      </w:r>
      <w:r w:rsidR="005A1116" w:rsidRPr="00577043">
        <w:rPr>
          <w:rFonts w:eastAsia="Times New Roman" w:cs="Times New Roman"/>
          <w:color w:val="000000"/>
          <w:lang w:eastAsia="da-DK"/>
        </w:rPr>
        <w:t xml:space="preserve">For at tilgodese den nødvendige balance i formandskabet foreslås det, at næstformanden skal vælges blandt lægmedlemmerne. </w:t>
      </w:r>
    </w:p>
    <w:p w14:paraId="210E2FEC" w14:textId="77777777" w:rsidR="00801035" w:rsidRPr="00577043" w:rsidRDefault="00801035" w:rsidP="005A1116">
      <w:pPr>
        <w:rPr>
          <w:rFonts w:eastAsia="Times New Roman" w:cs="Times New Roman"/>
          <w:color w:val="000000"/>
          <w:lang w:eastAsia="da-DK"/>
        </w:rPr>
      </w:pPr>
    </w:p>
    <w:p w14:paraId="385137B1" w14:textId="77777777" w:rsidR="0016758B" w:rsidRPr="00577043" w:rsidRDefault="00F1594F" w:rsidP="005A1116">
      <w:pPr>
        <w:rPr>
          <w:rFonts w:eastAsia="Times New Roman" w:cs="Times New Roman"/>
          <w:color w:val="000000"/>
          <w:lang w:eastAsia="da-DK"/>
        </w:rPr>
      </w:pPr>
      <w:r>
        <w:rPr>
          <w:rFonts w:eastAsia="Times New Roman" w:cs="Times New Roman"/>
          <w:color w:val="000000"/>
          <w:lang w:eastAsia="da-DK"/>
        </w:rPr>
        <w:t>Den</w:t>
      </w:r>
      <w:r w:rsidR="00801035" w:rsidRPr="00577043">
        <w:rPr>
          <w:rFonts w:eastAsia="Times New Roman" w:cs="Times New Roman"/>
          <w:color w:val="000000"/>
          <w:lang w:eastAsia="da-DK"/>
        </w:rPr>
        <w:t xml:space="preserve"> foreslåede model for videnskabsetiske læg</w:t>
      </w:r>
      <w:r w:rsidR="002A6FC7">
        <w:rPr>
          <w:rFonts w:eastAsia="Times New Roman" w:cs="Times New Roman"/>
          <w:color w:val="000000"/>
          <w:lang w:eastAsia="da-DK"/>
        </w:rPr>
        <w:t>emiddelkomiteer skal</w:t>
      </w:r>
      <w:r w:rsidR="00801035" w:rsidRPr="00577043">
        <w:rPr>
          <w:rFonts w:eastAsia="Times New Roman" w:cs="Times New Roman"/>
          <w:color w:val="000000"/>
          <w:lang w:eastAsia="da-DK"/>
        </w:rPr>
        <w:t xml:space="preserve"> sikre, at de</w:t>
      </w:r>
      <w:r w:rsidR="00C14106" w:rsidRPr="00577043">
        <w:rPr>
          <w:rFonts w:eastAsia="Times New Roman" w:cs="Times New Roman"/>
          <w:color w:val="000000"/>
          <w:lang w:eastAsia="da-DK"/>
        </w:rPr>
        <w:t>n</w:t>
      </w:r>
      <w:r w:rsidR="00801035" w:rsidRPr="00577043">
        <w:rPr>
          <w:rFonts w:eastAsia="Times New Roman" w:cs="Times New Roman"/>
          <w:color w:val="000000"/>
          <w:lang w:eastAsia="da-DK"/>
        </w:rPr>
        <w:t xml:space="preserve"> videnskabsetiske vu</w:t>
      </w:r>
      <w:r w:rsidR="00C14106" w:rsidRPr="00577043">
        <w:rPr>
          <w:rFonts w:eastAsia="Times New Roman" w:cs="Times New Roman"/>
          <w:color w:val="000000"/>
          <w:lang w:eastAsia="da-DK"/>
        </w:rPr>
        <w:t xml:space="preserve">rdering af lægemiddelforsøg </w:t>
      </w:r>
      <w:r w:rsidR="00801035" w:rsidRPr="00577043">
        <w:rPr>
          <w:rFonts w:eastAsia="Times New Roman" w:cs="Times New Roman"/>
          <w:color w:val="000000"/>
          <w:lang w:eastAsia="da-DK"/>
        </w:rPr>
        <w:t>varetages af komiteer, som er bredt forank</w:t>
      </w:r>
      <w:r w:rsidR="00C14106" w:rsidRPr="00577043">
        <w:rPr>
          <w:rFonts w:eastAsia="Times New Roman" w:cs="Times New Roman"/>
          <w:color w:val="000000"/>
          <w:lang w:eastAsia="da-DK"/>
        </w:rPr>
        <w:t xml:space="preserve">ret </w:t>
      </w:r>
      <w:r w:rsidR="00095231" w:rsidRPr="00577043">
        <w:rPr>
          <w:rFonts w:eastAsia="Times New Roman" w:cs="Times New Roman"/>
          <w:color w:val="000000"/>
          <w:lang w:eastAsia="da-DK"/>
        </w:rPr>
        <w:t xml:space="preserve">både </w:t>
      </w:r>
      <w:r w:rsidR="00C14106" w:rsidRPr="00577043">
        <w:rPr>
          <w:rFonts w:eastAsia="Times New Roman" w:cs="Times New Roman"/>
          <w:color w:val="000000"/>
          <w:lang w:eastAsia="da-DK"/>
        </w:rPr>
        <w:t xml:space="preserve">regionalt </w:t>
      </w:r>
      <w:r w:rsidR="00095231" w:rsidRPr="00577043">
        <w:rPr>
          <w:rFonts w:eastAsia="Times New Roman" w:cs="Times New Roman"/>
          <w:color w:val="000000"/>
          <w:lang w:eastAsia="da-DK"/>
        </w:rPr>
        <w:t>og</w:t>
      </w:r>
      <w:r w:rsidR="00C14106" w:rsidRPr="00577043">
        <w:rPr>
          <w:rFonts w:eastAsia="Times New Roman" w:cs="Times New Roman"/>
          <w:color w:val="000000"/>
          <w:lang w:eastAsia="da-DK"/>
        </w:rPr>
        <w:t xml:space="preserve"> i de sundhedsvidenskabelige miljøer samtidig med, at forsøgspersonernes interesser også varetages af patientrepræsentanter. Komiteerne har således et solidt grundlag for at vurdere sundhe</w:t>
      </w:r>
      <w:r w:rsidR="002A6FC7">
        <w:rPr>
          <w:rFonts w:eastAsia="Times New Roman" w:cs="Times New Roman"/>
          <w:color w:val="000000"/>
          <w:lang w:eastAsia="da-DK"/>
        </w:rPr>
        <w:t>dsfaglige, forskningsmæssige og</w:t>
      </w:r>
      <w:r w:rsidR="00C14106" w:rsidRPr="00577043">
        <w:rPr>
          <w:rFonts w:eastAsia="Times New Roman" w:cs="Times New Roman"/>
          <w:color w:val="000000"/>
          <w:lang w:eastAsia="da-DK"/>
        </w:rPr>
        <w:t xml:space="preserve"> etiske aspekter, herunder hensynet til forsøgspersoners rettigheder. </w:t>
      </w:r>
    </w:p>
    <w:p w14:paraId="1ED25BAB" w14:textId="77777777" w:rsidR="0016758B" w:rsidRPr="00577043" w:rsidRDefault="0016758B" w:rsidP="005A1116">
      <w:pPr>
        <w:rPr>
          <w:rFonts w:eastAsia="Times New Roman" w:cs="Times New Roman"/>
          <w:color w:val="000000"/>
          <w:lang w:eastAsia="da-DK"/>
        </w:rPr>
      </w:pPr>
    </w:p>
    <w:p w14:paraId="071364D9" w14:textId="77777777" w:rsidR="00F1594F" w:rsidRDefault="000605D9" w:rsidP="005A1116">
      <w:pPr>
        <w:rPr>
          <w:rFonts w:eastAsia="Times New Roman" w:cs="Times New Roman"/>
          <w:color w:val="000000"/>
          <w:lang w:eastAsia="da-DK"/>
        </w:rPr>
      </w:pPr>
      <w:r w:rsidRPr="00577043">
        <w:rPr>
          <w:rFonts w:eastAsia="Times New Roman" w:cs="Times New Roman"/>
          <w:color w:val="000000"/>
          <w:lang w:eastAsia="da-DK"/>
        </w:rPr>
        <w:lastRenderedPageBreak/>
        <w:t xml:space="preserve">Samtidig understøtter </w:t>
      </w:r>
      <w:r w:rsidR="002A6FC7">
        <w:rPr>
          <w:rFonts w:eastAsia="Times New Roman" w:cs="Times New Roman"/>
          <w:color w:val="000000"/>
          <w:lang w:eastAsia="da-DK"/>
        </w:rPr>
        <w:t>den foreslåede centralisering og specialisering</w:t>
      </w:r>
      <w:r w:rsidRPr="00577043">
        <w:rPr>
          <w:rFonts w:eastAsia="Times New Roman" w:cs="Times New Roman"/>
          <w:color w:val="000000"/>
          <w:lang w:eastAsia="da-DK"/>
        </w:rPr>
        <w:t xml:space="preserve"> af de videnskabsetiske lægemiddelkomiteer</w:t>
      </w:r>
      <w:r w:rsidR="00F1594F">
        <w:rPr>
          <w:rFonts w:eastAsia="Times New Roman" w:cs="Times New Roman"/>
          <w:color w:val="000000"/>
          <w:lang w:eastAsia="da-DK"/>
        </w:rPr>
        <w:t>, at der kan ske</w:t>
      </w:r>
      <w:r w:rsidR="0016758B" w:rsidRPr="00577043">
        <w:rPr>
          <w:rFonts w:eastAsia="Times New Roman" w:cs="Times New Roman"/>
          <w:color w:val="000000"/>
          <w:lang w:eastAsia="da-DK"/>
        </w:rPr>
        <w:t xml:space="preserve"> en effektiv behandling af ansøgninger </w:t>
      </w:r>
      <w:r w:rsidR="00E53C17">
        <w:rPr>
          <w:rFonts w:eastAsia="Times New Roman" w:cs="Times New Roman"/>
          <w:color w:val="000000"/>
          <w:lang w:eastAsia="da-DK"/>
        </w:rPr>
        <w:t>om</w:t>
      </w:r>
      <w:r w:rsidR="0016758B" w:rsidRPr="00577043">
        <w:rPr>
          <w:rFonts w:eastAsia="Times New Roman" w:cs="Times New Roman"/>
          <w:color w:val="000000"/>
          <w:lang w:eastAsia="da-DK"/>
        </w:rPr>
        <w:t xml:space="preserve"> lægemiddelforsøg. Dette er afgørende for at overholde forordningens krav</w:t>
      </w:r>
      <w:r w:rsidR="00F1594F">
        <w:rPr>
          <w:rFonts w:eastAsia="Times New Roman" w:cs="Times New Roman"/>
          <w:color w:val="000000"/>
          <w:lang w:eastAsia="da-DK"/>
        </w:rPr>
        <w:t xml:space="preserve"> </w:t>
      </w:r>
      <w:r w:rsidR="00E53C17">
        <w:rPr>
          <w:rFonts w:eastAsia="Times New Roman" w:cs="Times New Roman"/>
          <w:color w:val="000000"/>
          <w:lang w:eastAsia="da-DK"/>
        </w:rPr>
        <w:t>til</w:t>
      </w:r>
      <w:r w:rsidR="002A6FC7">
        <w:rPr>
          <w:rFonts w:eastAsia="Times New Roman" w:cs="Times New Roman"/>
          <w:color w:val="000000"/>
          <w:lang w:eastAsia="da-DK"/>
        </w:rPr>
        <w:t xml:space="preserve"> tidsfrister og koordinering af</w:t>
      </w:r>
      <w:r w:rsidR="0016758B" w:rsidRPr="00577043">
        <w:rPr>
          <w:rFonts w:eastAsia="Times New Roman" w:cs="Times New Roman"/>
          <w:color w:val="000000"/>
          <w:lang w:eastAsia="da-DK"/>
        </w:rPr>
        <w:t xml:space="preserve"> afgørelser</w:t>
      </w:r>
      <w:r w:rsidR="002A6FC7">
        <w:rPr>
          <w:rFonts w:eastAsia="Times New Roman" w:cs="Times New Roman"/>
          <w:color w:val="000000"/>
          <w:lang w:eastAsia="da-DK"/>
        </w:rPr>
        <w:t xml:space="preserve">. </w:t>
      </w:r>
    </w:p>
    <w:p w14:paraId="0E109561" w14:textId="77777777" w:rsidR="00F1594F" w:rsidRDefault="00F1594F" w:rsidP="005A1116">
      <w:pPr>
        <w:rPr>
          <w:rFonts w:eastAsia="Times New Roman" w:cs="Times New Roman"/>
          <w:color w:val="000000"/>
          <w:lang w:eastAsia="da-DK"/>
        </w:rPr>
      </w:pPr>
    </w:p>
    <w:p w14:paraId="2D3F54B9" w14:textId="77777777" w:rsidR="00801035" w:rsidRPr="00577043" w:rsidRDefault="002A6FC7" w:rsidP="005A1116">
      <w:pPr>
        <w:rPr>
          <w:rFonts w:eastAsia="Times New Roman" w:cs="Times New Roman"/>
          <w:color w:val="000000"/>
          <w:lang w:eastAsia="da-DK"/>
        </w:rPr>
      </w:pPr>
      <w:r>
        <w:rPr>
          <w:rFonts w:eastAsia="Times New Roman" w:cs="Times New Roman"/>
          <w:color w:val="000000"/>
          <w:lang w:eastAsia="da-DK"/>
        </w:rPr>
        <w:t xml:space="preserve">Endelig </w:t>
      </w:r>
      <w:r w:rsidR="00F1594F">
        <w:rPr>
          <w:rFonts w:eastAsia="Times New Roman" w:cs="Times New Roman"/>
          <w:color w:val="000000"/>
          <w:lang w:eastAsia="da-DK"/>
        </w:rPr>
        <w:t xml:space="preserve">vurderes det, at </w:t>
      </w:r>
      <w:r>
        <w:rPr>
          <w:rFonts w:eastAsia="Times New Roman" w:cs="Times New Roman"/>
          <w:color w:val="000000"/>
          <w:lang w:eastAsia="da-DK"/>
        </w:rPr>
        <w:t xml:space="preserve">den foreslåede </w:t>
      </w:r>
      <w:r w:rsidR="00F1594F">
        <w:rPr>
          <w:rFonts w:eastAsia="Times New Roman" w:cs="Times New Roman"/>
          <w:color w:val="000000"/>
          <w:lang w:eastAsia="da-DK"/>
        </w:rPr>
        <w:t>model</w:t>
      </w:r>
      <w:r>
        <w:rPr>
          <w:rFonts w:eastAsia="Times New Roman" w:cs="Times New Roman"/>
          <w:color w:val="000000"/>
          <w:lang w:eastAsia="da-DK"/>
        </w:rPr>
        <w:t xml:space="preserve"> </w:t>
      </w:r>
      <w:r w:rsidR="00F1594F">
        <w:rPr>
          <w:rFonts w:eastAsia="Times New Roman" w:cs="Times New Roman"/>
          <w:color w:val="000000"/>
          <w:lang w:eastAsia="da-DK"/>
        </w:rPr>
        <w:t xml:space="preserve">vil </w:t>
      </w:r>
      <w:r w:rsidR="0016758B" w:rsidRPr="00577043">
        <w:rPr>
          <w:rFonts w:eastAsia="Times New Roman" w:cs="Times New Roman"/>
          <w:color w:val="000000"/>
          <w:lang w:eastAsia="da-DK"/>
        </w:rPr>
        <w:t>medvirke til at skabe smidigere rammer og procedurer med henblik på at understøtte udvikling og vækst i dansk lægemiddelindustri.</w:t>
      </w:r>
    </w:p>
    <w:p w14:paraId="71A216AB" w14:textId="77777777" w:rsidR="00FD26D4" w:rsidRPr="00577043" w:rsidRDefault="00FD26D4" w:rsidP="005A1116">
      <w:pPr>
        <w:rPr>
          <w:rFonts w:eastAsia="Times New Roman" w:cs="Times New Roman"/>
          <w:color w:val="000000"/>
          <w:lang w:eastAsia="da-DK"/>
        </w:rPr>
      </w:pPr>
    </w:p>
    <w:p w14:paraId="724C99AD" w14:textId="77777777" w:rsidR="0027446B" w:rsidRPr="00577043" w:rsidRDefault="0027446B" w:rsidP="00CB2276">
      <w:pPr>
        <w:rPr>
          <w:rFonts w:eastAsia="Times New Roman" w:cs="Times New Roman"/>
          <w:color w:val="000000"/>
          <w:lang w:eastAsia="da-DK"/>
        </w:rPr>
      </w:pPr>
    </w:p>
    <w:p w14:paraId="7FB06FEA" w14:textId="77777777" w:rsidR="00143149" w:rsidRPr="00577043" w:rsidRDefault="008E1D66" w:rsidP="00CB2276">
      <w:pPr>
        <w:pStyle w:val="Overskrift5"/>
        <w:rPr>
          <w:rFonts w:eastAsia="Times New Roman" w:cs="Times New Roman"/>
          <w:lang w:eastAsia="da-DK"/>
        </w:rPr>
      </w:pPr>
      <w:r w:rsidRPr="00577043">
        <w:rPr>
          <w:rFonts w:eastAsia="Times New Roman" w:cs="Times New Roman"/>
          <w:lang w:eastAsia="da-DK"/>
        </w:rPr>
        <w:t>2.</w:t>
      </w:r>
      <w:r w:rsidR="00402351" w:rsidRPr="00577043">
        <w:rPr>
          <w:rFonts w:eastAsia="Times New Roman" w:cs="Times New Roman"/>
          <w:lang w:eastAsia="da-DK"/>
        </w:rPr>
        <w:t>2.</w:t>
      </w:r>
      <w:r w:rsidR="00291AB3" w:rsidRPr="00577043">
        <w:rPr>
          <w:rFonts w:eastAsia="Times New Roman" w:cs="Times New Roman"/>
          <w:lang w:eastAsia="da-DK"/>
        </w:rPr>
        <w:t xml:space="preserve"> </w:t>
      </w:r>
      <w:r w:rsidR="00143149" w:rsidRPr="00577043">
        <w:rPr>
          <w:rFonts w:eastAsia="Times New Roman" w:cs="Times New Roman"/>
          <w:lang w:eastAsia="da-DK"/>
        </w:rPr>
        <w:t>Procedure for vurdering og godkendelse af kliniske forsøg med lægemidler til mennesker</w:t>
      </w:r>
    </w:p>
    <w:p w14:paraId="2EC25DC5" w14:textId="77777777" w:rsidR="00143149" w:rsidRPr="00577043" w:rsidRDefault="00143149" w:rsidP="00143149">
      <w:pPr>
        <w:rPr>
          <w:lang w:eastAsia="da-DK"/>
        </w:rPr>
      </w:pPr>
    </w:p>
    <w:p w14:paraId="7194087C" w14:textId="77777777" w:rsidR="005671BD" w:rsidRPr="00577043" w:rsidRDefault="005671BD" w:rsidP="002F560F">
      <w:pPr>
        <w:rPr>
          <w:i/>
          <w:lang w:eastAsia="da-DK"/>
        </w:rPr>
      </w:pPr>
      <w:r w:rsidRPr="00577043">
        <w:rPr>
          <w:i/>
          <w:lang w:eastAsia="da-DK"/>
        </w:rPr>
        <w:t>2.2.1.</w:t>
      </w:r>
      <w:r w:rsidR="00C92F57" w:rsidRPr="00577043">
        <w:rPr>
          <w:i/>
          <w:lang w:eastAsia="da-DK"/>
        </w:rPr>
        <w:t xml:space="preserve"> </w:t>
      </w:r>
      <w:r w:rsidRPr="00577043">
        <w:rPr>
          <w:i/>
          <w:lang w:eastAsia="da-DK"/>
        </w:rPr>
        <w:t>Gældende re</w:t>
      </w:r>
      <w:r w:rsidR="00034C70">
        <w:rPr>
          <w:i/>
          <w:lang w:eastAsia="da-DK"/>
        </w:rPr>
        <w:t>t</w:t>
      </w:r>
    </w:p>
    <w:p w14:paraId="5716668B" w14:textId="77777777" w:rsidR="00975505" w:rsidRPr="00577043" w:rsidRDefault="00975505" w:rsidP="00D02DE0">
      <w:pPr>
        <w:rPr>
          <w:rFonts w:eastAsia="Times New Roman" w:cs="Times New Roman"/>
          <w:bCs/>
          <w:color w:val="000000"/>
          <w:lang w:eastAsia="da-DK"/>
        </w:rPr>
      </w:pPr>
      <w:r w:rsidRPr="00577043">
        <w:rPr>
          <w:rFonts w:eastAsia="Times New Roman" w:cs="Times New Roman"/>
          <w:bCs/>
          <w:color w:val="000000"/>
          <w:lang w:eastAsia="da-DK"/>
        </w:rPr>
        <w:t xml:space="preserve">Et klinisk forsøg med lægemidler må kun udføres, når </w:t>
      </w:r>
      <w:r w:rsidR="00A85394" w:rsidRPr="00577043">
        <w:rPr>
          <w:rFonts w:eastAsia="Times New Roman" w:cs="Times New Roman"/>
          <w:bCs/>
          <w:color w:val="000000"/>
          <w:lang w:eastAsia="da-DK"/>
        </w:rPr>
        <w:t xml:space="preserve">dels </w:t>
      </w:r>
      <w:r w:rsidR="0058651B">
        <w:rPr>
          <w:rFonts w:eastAsia="Times New Roman" w:cs="Times New Roman"/>
          <w:bCs/>
          <w:color w:val="000000"/>
          <w:lang w:eastAsia="da-DK"/>
        </w:rPr>
        <w:t>Lægemiddelstyrelsen</w:t>
      </w:r>
      <w:r w:rsidRPr="00577043">
        <w:rPr>
          <w:rFonts w:eastAsia="Times New Roman" w:cs="Times New Roman"/>
          <w:bCs/>
          <w:color w:val="000000"/>
          <w:lang w:eastAsia="da-DK"/>
        </w:rPr>
        <w:t xml:space="preserve"> har givet tilladelse til forsøget, jf. § 88, stk. 1, i lov om lægemidler</w:t>
      </w:r>
      <w:r w:rsidR="00A85394" w:rsidRPr="00577043">
        <w:rPr>
          <w:rFonts w:eastAsia="Times New Roman" w:cs="Times New Roman"/>
          <w:bCs/>
          <w:color w:val="000000"/>
          <w:lang w:eastAsia="da-DK"/>
        </w:rPr>
        <w:t>, dels</w:t>
      </w:r>
      <w:r w:rsidRPr="00577043">
        <w:rPr>
          <w:rFonts w:eastAsia="Times New Roman" w:cs="Times New Roman"/>
          <w:bCs/>
          <w:color w:val="000000"/>
          <w:lang w:eastAsia="da-DK"/>
        </w:rPr>
        <w:t xml:space="preserve"> </w:t>
      </w:r>
      <w:r w:rsidR="00A85394" w:rsidRPr="00577043">
        <w:rPr>
          <w:rFonts w:eastAsia="Times New Roman" w:cs="Times New Roman"/>
          <w:bCs/>
          <w:color w:val="000000"/>
          <w:lang w:eastAsia="da-DK"/>
        </w:rPr>
        <w:t xml:space="preserve">den kompetente videnskabsetiske komité har givet tilladelse, jf. </w:t>
      </w:r>
      <w:r w:rsidR="007A4C48" w:rsidRPr="00577043">
        <w:rPr>
          <w:rFonts w:eastAsia="Times New Roman" w:cs="Times New Roman"/>
          <w:bCs/>
          <w:color w:val="000000"/>
          <w:lang w:eastAsia="da-DK"/>
        </w:rPr>
        <w:t>§ 13</w:t>
      </w:r>
      <w:r w:rsidRPr="00577043">
        <w:rPr>
          <w:rFonts w:eastAsia="Times New Roman" w:cs="Times New Roman"/>
          <w:bCs/>
          <w:color w:val="000000"/>
          <w:lang w:eastAsia="da-DK"/>
        </w:rPr>
        <w:t xml:space="preserve"> i komitéloven. </w:t>
      </w:r>
    </w:p>
    <w:p w14:paraId="1168D91C" w14:textId="77777777" w:rsidR="00D02DE0" w:rsidRPr="00577043" w:rsidRDefault="00D02DE0" w:rsidP="00D02DE0">
      <w:pPr>
        <w:rPr>
          <w:rFonts w:eastAsia="Times New Roman" w:cs="Times New Roman"/>
          <w:bCs/>
          <w:color w:val="000000"/>
          <w:lang w:eastAsia="da-DK"/>
        </w:rPr>
      </w:pPr>
    </w:p>
    <w:p w14:paraId="7E5DCF40" w14:textId="77777777" w:rsidR="00641059" w:rsidRPr="00577043" w:rsidRDefault="00045561" w:rsidP="00D02DE0">
      <w:pPr>
        <w:rPr>
          <w:rFonts w:eastAsia="Times New Roman" w:cs="Times New Roman"/>
          <w:bCs/>
          <w:color w:val="000000"/>
          <w:lang w:eastAsia="da-DK"/>
        </w:rPr>
      </w:pPr>
      <w:r w:rsidRPr="00577043">
        <w:rPr>
          <w:rFonts w:eastAsia="Times New Roman" w:cs="Times New Roman"/>
          <w:bCs/>
          <w:color w:val="000000"/>
          <w:lang w:eastAsia="da-DK"/>
        </w:rPr>
        <w:t xml:space="preserve">Den person, virksomhed, eller institution, der påtager sig ansvaret for igangsætning, ledelse og eventuel finansiering af et klinisk forsøg (sponsor) skal indgive en ansøgning til </w:t>
      </w:r>
      <w:r w:rsidR="0058651B">
        <w:rPr>
          <w:rFonts w:eastAsia="Times New Roman" w:cs="Times New Roman"/>
          <w:bCs/>
          <w:color w:val="000000"/>
          <w:lang w:eastAsia="da-DK"/>
        </w:rPr>
        <w:t>Lægemiddelstyrelsen</w:t>
      </w:r>
      <w:r w:rsidR="00C92F57" w:rsidRPr="00577043">
        <w:rPr>
          <w:rFonts w:eastAsia="Times New Roman" w:cs="Times New Roman"/>
          <w:bCs/>
          <w:color w:val="000000"/>
          <w:lang w:eastAsia="da-DK"/>
        </w:rPr>
        <w:t xml:space="preserve">, jf. § 88, stk. 3, i lov </w:t>
      </w:r>
      <w:r w:rsidRPr="00577043">
        <w:rPr>
          <w:rFonts w:eastAsia="Times New Roman" w:cs="Times New Roman"/>
          <w:bCs/>
          <w:color w:val="000000"/>
          <w:lang w:eastAsia="da-DK"/>
        </w:rPr>
        <w:t xml:space="preserve">om lægemidler. </w:t>
      </w:r>
      <w:r w:rsidR="00975505" w:rsidRPr="00577043">
        <w:rPr>
          <w:rFonts w:eastAsia="Times New Roman" w:cs="Times New Roman"/>
          <w:bCs/>
          <w:color w:val="000000"/>
          <w:lang w:eastAsia="da-DK"/>
        </w:rPr>
        <w:t>Den person, som er ansvarlig for den praktiske gennemførelse af forsøget på et bestemt forsøgssted (den forsøgsansvarlige</w:t>
      </w:r>
      <w:r w:rsidR="00007C07" w:rsidRPr="00577043">
        <w:rPr>
          <w:rFonts w:eastAsia="Times New Roman" w:cs="Times New Roman"/>
          <w:bCs/>
          <w:color w:val="000000"/>
          <w:lang w:eastAsia="da-DK"/>
        </w:rPr>
        <w:t>/</w:t>
      </w:r>
      <w:r w:rsidR="002B313D">
        <w:rPr>
          <w:rFonts w:eastAsia="Times New Roman" w:cs="Times New Roman"/>
          <w:bCs/>
          <w:color w:val="000000"/>
          <w:lang w:eastAsia="da-DK"/>
        </w:rPr>
        <w:t>koordinerende</w:t>
      </w:r>
      <w:r w:rsidR="00076032">
        <w:rPr>
          <w:rFonts w:eastAsia="Times New Roman" w:cs="Times New Roman"/>
          <w:bCs/>
          <w:color w:val="000000"/>
          <w:lang w:eastAsia="da-DK"/>
        </w:rPr>
        <w:t xml:space="preserve"> </w:t>
      </w:r>
      <w:r w:rsidR="00007C07" w:rsidRPr="00577043">
        <w:rPr>
          <w:rFonts w:eastAsia="Times New Roman" w:cs="Times New Roman"/>
          <w:bCs/>
          <w:color w:val="000000"/>
          <w:lang w:eastAsia="da-DK"/>
        </w:rPr>
        <w:t>investigator</w:t>
      </w:r>
      <w:r w:rsidR="00975505" w:rsidRPr="00577043">
        <w:rPr>
          <w:rFonts w:eastAsia="Times New Roman" w:cs="Times New Roman"/>
          <w:bCs/>
          <w:color w:val="000000"/>
          <w:lang w:eastAsia="da-DK"/>
        </w:rPr>
        <w:t>) og sponsor</w:t>
      </w:r>
      <w:r w:rsidR="007A4C48" w:rsidRPr="00577043">
        <w:rPr>
          <w:rFonts w:eastAsia="Times New Roman" w:cs="Times New Roman"/>
          <w:bCs/>
          <w:color w:val="000000"/>
          <w:lang w:eastAsia="da-DK"/>
        </w:rPr>
        <w:t xml:space="preserve"> </w:t>
      </w:r>
      <w:r w:rsidR="00975505" w:rsidRPr="00577043">
        <w:rPr>
          <w:rFonts w:eastAsia="Times New Roman" w:cs="Times New Roman"/>
          <w:bCs/>
          <w:color w:val="000000"/>
          <w:lang w:eastAsia="da-DK"/>
        </w:rPr>
        <w:t>skal i forening anmelde et sundhedsvidenskabeligt forskningsprojekt til den regionale komité for det område, hvori den forsøgsansvarlige</w:t>
      </w:r>
      <w:r w:rsidR="00DC673E">
        <w:rPr>
          <w:rFonts w:eastAsia="Times New Roman" w:cs="Times New Roman"/>
          <w:bCs/>
          <w:color w:val="000000"/>
          <w:lang w:eastAsia="da-DK"/>
        </w:rPr>
        <w:t>/</w:t>
      </w:r>
      <w:r w:rsidR="002B313D">
        <w:rPr>
          <w:rFonts w:eastAsia="Times New Roman" w:cs="Times New Roman"/>
          <w:bCs/>
          <w:color w:val="000000"/>
          <w:lang w:eastAsia="da-DK"/>
        </w:rPr>
        <w:t>koordinerende</w:t>
      </w:r>
      <w:r w:rsidR="00076032">
        <w:rPr>
          <w:rFonts w:eastAsia="Times New Roman" w:cs="Times New Roman"/>
          <w:bCs/>
          <w:color w:val="000000"/>
          <w:lang w:eastAsia="da-DK"/>
        </w:rPr>
        <w:t xml:space="preserve"> </w:t>
      </w:r>
      <w:r w:rsidR="00DC673E">
        <w:rPr>
          <w:rFonts w:eastAsia="Times New Roman" w:cs="Times New Roman"/>
          <w:bCs/>
          <w:color w:val="000000"/>
          <w:lang w:eastAsia="da-DK"/>
        </w:rPr>
        <w:t>investigator</w:t>
      </w:r>
      <w:r w:rsidR="00975505" w:rsidRPr="00577043">
        <w:rPr>
          <w:rFonts w:eastAsia="Times New Roman" w:cs="Times New Roman"/>
          <w:bCs/>
          <w:color w:val="000000"/>
          <w:lang w:eastAsia="da-DK"/>
        </w:rPr>
        <w:t xml:space="preserve"> har sit virke.</w:t>
      </w:r>
      <w:r w:rsidR="00381F44" w:rsidRPr="00577043">
        <w:rPr>
          <w:rFonts w:eastAsia="Times New Roman" w:cs="Times New Roman"/>
          <w:bCs/>
          <w:color w:val="000000"/>
          <w:lang w:eastAsia="da-DK"/>
        </w:rPr>
        <w:t xml:space="preserve"> Det bemærkes, at forsøgsansvarlig er den betegnelse i komitéloven</w:t>
      </w:r>
      <w:r w:rsidR="005164E2" w:rsidRPr="00577043">
        <w:rPr>
          <w:rFonts w:eastAsia="Times New Roman" w:cs="Times New Roman"/>
          <w:bCs/>
          <w:color w:val="000000"/>
          <w:lang w:eastAsia="da-DK"/>
        </w:rPr>
        <w:t>, jf. § 2, stk.1, nr. 6</w:t>
      </w:r>
      <w:r w:rsidR="00381F44" w:rsidRPr="00577043">
        <w:rPr>
          <w:rFonts w:eastAsia="Times New Roman" w:cs="Times New Roman"/>
          <w:bCs/>
          <w:color w:val="000000"/>
          <w:lang w:eastAsia="da-DK"/>
        </w:rPr>
        <w:t xml:space="preserve">, som i lov om lægemidler svarer til betegnelsen </w:t>
      </w:r>
      <w:r w:rsidR="00076032">
        <w:rPr>
          <w:rFonts w:eastAsia="Times New Roman" w:cs="Times New Roman"/>
          <w:bCs/>
          <w:color w:val="000000"/>
          <w:lang w:eastAsia="da-DK"/>
        </w:rPr>
        <w:t xml:space="preserve">principal </w:t>
      </w:r>
      <w:r w:rsidR="00381F44" w:rsidRPr="00577043">
        <w:rPr>
          <w:rFonts w:eastAsia="Times New Roman" w:cs="Times New Roman"/>
          <w:bCs/>
          <w:color w:val="000000"/>
          <w:lang w:eastAsia="da-DK"/>
        </w:rPr>
        <w:t>investigator</w:t>
      </w:r>
      <w:r w:rsidR="000064C0" w:rsidRPr="00577043">
        <w:rPr>
          <w:rFonts w:eastAsia="Times New Roman" w:cs="Times New Roman"/>
          <w:bCs/>
          <w:color w:val="000000"/>
          <w:lang w:eastAsia="da-DK"/>
        </w:rPr>
        <w:t>, i direktiv 2001/20/EF</w:t>
      </w:r>
      <w:r w:rsidR="00007C07" w:rsidRPr="00577043">
        <w:rPr>
          <w:rFonts w:eastAsia="Times New Roman" w:cs="Times New Roman"/>
          <w:bCs/>
          <w:color w:val="000000"/>
          <w:lang w:eastAsia="da-DK"/>
        </w:rPr>
        <w:t xml:space="preserve">, </w:t>
      </w:r>
      <w:r w:rsidR="00A96972">
        <w:rPr>
          <w:rFonts w:eastAsia="Times New Roman" w:cs="Times New Roman"/>
          <w:bCs/>
          <w:color w:val="000000"/>
          <w:lang w:eastAsia="da-DK"/>
        </w:rPr>
        <w:t xml:space="preserve">jf. </w:t>
      </w:r>
      <w:r w:rsidR="00A96972" w:rsidRPr="00577043">
        <w:rPr>
          <w:rFonts w:eastAsia="Times New Roman" w:cs="Times New Roman"/>
          <w:bCs/>
          <w:color w:val="000000"/>
          <w:lang w:eastAsia="da-DK"/>
        </w:rPr>
        <w:t>art</w:t>
      </w:r>
      <w:r w:rsidR="00522513">
        <w:rPr>
          <w:rFonts w:eastAsia="Times New Roman" w:cs="Times New Roman"/>
          <w:bCs/>
          <w:color w:val="000000"/>
          <w:lang w:eastAsia="da-DK"/>
        </w:rPr>
        <w:t>ikel</w:t>
      </w:r>
      <w:r w:rsidR="00A96972" w:rsidRPr="00577043">
        <w:rPr>
          <w:rFonts w:eastAsia="Times New Roman" w:cs="Times New Roman"/>
          <w:bCs/>
          <w:color w:val="000000"/>
          <w:lang w:eastAsia="da-DK"/>
        </w:rPr>
        <w:t xml:space="preserve"> 2, litra f</w:t>
      </w:r>
      <w:r w:rsidR="00A96972">
        <w:rPr>
          <w:rFonts w:eastAsia="Times New Roman" w:cs="Times New Roman"/>
          <w:bCs/>
          <w:color w:val="000000"/>
          <w:lang w:eastAsia="da-DK"/>
        </w:rPr>
        <w:t xml:space="preserve">, og i </w:t>
      </w:r>
      <w:r w:rsidR="00007C07" w:rsidRPr="00577043">
        <w:rPr>
          <w:rFonts w:eastAsia="Times New Roman" w:cs="Times New Roman"/>
          <w:bCs/>
          <w:color w:val="000000"/>
          <w:lang w:eastAsia="da-DK"/>
        </w:rPr>
        <w:t>forordningen</w:t>
      </w:r>
      <w:r w:rsidR="007B5762" w:rsidRPr="00577043">
        <w:rPr>
          <w:rFonts w:eastAsia="Times New Roman" w:cs="Times New Roman"/>
          <w:bCs/>
          <w:color w:val="000000"/>
          <w:lang w:eastAsia="da-DK"/>
        </w:rPr>
        <w:t>, jf. art</w:t>
      </w:r>
      <w:r w:rsidR="00522513">
        <w:rPr>
          <w:rFonts w:eastAsia="Times New Roman" w:cs="Times New Roman"/>
          <w:bCs/>
          <w:color w:val="000000"/>
          <w:lang w:eastAsia="da-DK"/>
        </w:rPr>
        <w:t>ikel</w:t>
      </w:r>
      <w:r w:rsidR="007B5762" w:rsidRPr="00577043">
        <w:rPr>
          <w:rFonts w:eastAsia="Times New Roman" w:cs="Times New Roman"/>
          <w:bCs/>
          <w:color w:val="000000"/>
          <w:lang w:eastAsia="da-DK"/>
        </w:rPr>
        <w:t xml:space="preserve"> 2, stk. 2, nr. 15</w:t>
      </w:r>
      <w:r w:rsidR="00381F44" w:rsidRPr="00577043">
        <w:rPr>
          <w:rFonts w:eastAsia="Times New Roman" w:cs="Times New Roman"/>
          <w:bCs/>
          <w:color w:val="000000"/>
          <w:lang w:eastAsia="da-DK"/>
        </w:rPr>
        <w:t>.</w:t>
      </w:r>
    </w:p>
    <w:p w14:paraId="6FE4C069" w14:textId="77777777" w:rsidR="00D02DE0" w:rsidRPr="00577043" w:rsidRDefault="00D02DE0" w:rsidP="00D02DE0">
      <w:pPr>
        <w:rPr>
          <w:rFonts w:eastAsia="Times New Roman" w:cs="Times New Roman"/>
          <w:bCs/>
          <w:color w:val="000000"/>
          <w:lang w:eastAsia="da-DK"/>
        </w:rPr>
      </w:pPr>
    </w:p>
    <w:p w14:paraId="35B66738" w14:textId="77777777" w:rsidR="00975505" w:rsidRPr="00577043" w:rsidRDefault="007A4C48" w:rsidP="00D02DE0">
      <w:pPr>
        <w:rPr>
          <w:rFonts w:eastAsia="Times New Roman" w:cs="Times New Roman"/>
          <w:bCs/>
          <w:color w:val="000000"/>
          <w:lang w:eastAsia="da-DK"/>
        </w:rPr>
      </w:pPr>
      <w:r w:rsidRPr="00577043">
        <w:rPr>
          <w:rFonts w:eastAsia="Times New Roman" w:cs="Times New Roman"/>
          <w:bCs/>
          <w:color w:val="000000"/>
          <w:lang w:eastAsia="da-DK"/>
        </w:rPr>
        <w:t>Nærmere regler om hvilke oplysninger</w:t>
      </w:r>
      <w:r w:rsidR="006F182A" w:rsidRPr="00577043">
        <w:rPr>
          <w:rFonts w:eastAsia="Times New Roman" w:cs="Times New Roman"/>
          <w:bCs/>
          <w:color w:val="000000"/>
          <w:lang w:eastAsia="da-DK"/>
        </w:rPr>
        <w:t>,</w:t>
      </w:r>
      <w:r w:rsidR="007A780A" w:rsidRPr="00577043">
        <w:rPr>
          <w:rFonts w:eastAsia="Times New Roman" w:cs="Times New Roman"/>
          <w:bCs/>
          <w:color w:val="000000"/>
          <w:lang w:eastAsia="da-DK"/>
        </w:rPr>
        <w:t xml:space="preserve"> </w:t>
      </w:r>
      <w:r w:rsidRPr="00577043">
        <w:rPr>
          <w:rFonts w:eastAsia="Times New Roman" w:cs="Times New Roman"/>
          <w:bCs/>
          <w:color w:val="000000"/>
          <w:lang w:eastAsia="da-DK"/>
        </w:rPr>
        <w:t xml:space="preserve">ansøgninger til </w:t>
      </w:r>
      <w:r w:rsidR="0058651B">
        <w:rPr>
          <w:rFonts w:eastAsia="Times New Roman" w:cs="Times New Roman"/>
          <w:bCs/>
          <w:color w:val="000000"/>
          <w:lang w:eastAsia="da-DK"/>
        </w:rPr>
        <w:t>Lægemiddelstyrelsen</w:t>
      </w:r>
      <w:r w:rsidRPr="00577043">
        <w:rPr>
          <w:rFonts w:eastAsia="Times New Roman" w:cs="Times New Roman"/>
          <w:bCs/>
          <w:color w:val="000000"/>
          <w:lang w:eastAsia="da-DK"/>
        </w:rPr>
        <w:t xml:space="preserve"> skal indeholde</w:t>
      </w:r>
      <w:r w:rsidR="007A780A" w:rsidRPr="00577043">
        <w:rPr>
          <w:rFonts w:eastAsia="Times New Roman" w:cs="Times New Roman"/>
          <w:bCs/>
          <w:color w:val="000000"/>
          <w:lang w:eastAsia="da-DK"/>
        </w:rPr>
        <w:t>,</w:t>
      </w:r>
      <w:r w:rsidRPr="00577043">
        <w:rPr>
          <w:rFonts w:eastAsia="Times New Roman" w:cs="Times New Roman"/>
          <w:bCs/>
          <w:color w:val="000000"/>
          <w:lang w:eastAsia="da-DK"/>
        </w:rPr>
        <w:t xml:space="preserve"> og om </w:t>
      </w:r>
      <w:r w:rsidR="0058651B">
        <w:rPr>
          <w:rFonts w:eastAsia="Times New Roman" w:cs="Times New Roman"/>
          <w:bCs/>
          <w:color w:val="000000"/>
          <w:lang w:eastAsia="da-DK"/>
        </w:rPr>
        <w:t>Lægemiddelstyrelsen</w:t>
      </w:r>
      <w:r w:rsidRPr="00577043">
        <w:rPr>
          <w:rFonts w:eastAsia="Times New Roman" w:cs="Times New Roman"/>
          <w:bCs/>
          <w:color w:val="000000"/>
          <w:lang w:eastAsia="da-DK"/>
        </w:rPr>
        <w:t>s behandling af sådanne ansøgninger</w:t>
      </w:r>
      <w:r w:rsidR="007A780A" w:rsidRPr="00577043">
        <w:rPr>
          <w:rFonts w:eastAsia="Times New Roman" w:cs="Times New Roman"/>
          <w:bCs/>
          <w:color w:val="000000"/>
          <w:lang w:eastAsia="da-DK"/>
        </w:rPr>
        <w:t>,</w:t>
      </w:r>
      <w:r w:rsidRPr="00577043">
        <w:rPr>
          <w:rFonts w:eastAsia="Times New Roman" w:cs="Times New Roman"/>
          <w:bCs/>
          <w:color w:val="000000"/>
          <w:lang w:eastAsia="da-DK"/>
        </w:rPr>
        <w:t xml:space="preserve"> er fastsat i bekendtgørelse nr. 295/2004 om god klinisk praksis i forbindelse med kliniske forsøg med lægemidler på mennesker. Nærmere regler om krav til udformningen af forsøgsprotokoller, og hvilke øvrige oplysninger der er nødvendige for komitésystemets vurdering</w:t>
      </w:r>
      <w:r w:rsidR="006F182A" w:rsidRPr="00577043">
        <w:rPr>
          <w:rFonts w:eastAsia="Times New Roman" w:cs="Times New Roman"/>
          <w:bCs/>
          <w:color w:val="000000"/>
          <w:lang w:eastAsia="da-DK"/>
        </w:rPr>
        <w:t>,</w:t>
      </w:r>
      <w:r w:rsidRPr="00577043">
        <w:rPr>
          <w:rFonts w:eastAsia="Times New Roman" w:cs="Times New Roman"/>
          <w:bCs/>
          <w:color w:val="000000"/>
          <w:lang w:eastAsia="da-DK"/>
        </w:rPr>
        <w:t xml:space="preserve"> er fastsat bekendtgørelse nr. 1149 af 30. september 2013 om information og samtykke til deltagelse i sundhedsvidenskabelige forskningsprojekter samt om anmeldelse af og tilsyn me</w:t>
      </w:r>
      <w:r w:rsidR="00A85394" w:rsidRPr="00577043">
        <w:rPr>
          <w:rFonts w:eastAsia="Times New Roman" w:cs="Times New Roman"/>
          <w:bCs/>
          <w:color w:val="000000"/>
          <w:lang w:eastAsia="da-DK"/>
        </w:rPr>
        <w:t>d</w:t>
      </w:r>
      <w:r w:rsidRPr="00577043">
        <w:rPr>
          <w:rFonts w:eastAsia="Times New Roman" w:cs="Times New Roman"/>
          <w:bCs/>
          <w:color w:val="000000"/>
          <w:lang w:eastAsia="da-DK"/>
        </w:rPr>
        <w:t xml:space="preserve"> sundhedsvidenskabelige forskningsprojekter</w:t>
      </w:r>
      <w:r w:rsidR="009E46AB" w:rsidRPr="00577043">
        <w:rPr>
          <w:rFonts w:eastAsia="Times New Roman" w:cs="Times New Roman"/>
          <w:bCs/>
          <w:color w:val="000000"/>
          <w:lang w:eastAsia="da-DK"/>
        </w:rPr>
        <w:t xml:space="preserve"> (informationsbekendtgørelsen)</w:t>
      </w:r>
      <w:r w:rsidRPr="00577043">
        <w:rPr>
          <w:rFonts w:eastAsia="Times New Roman" w:cs="Times New Roman"/>
          <w:bCs/>
          <w:color w:val="000000"/>
          <w:lang w:eastAsia="da-DK"/>
        </w:rPr>
        <w:t xml:space="preserve">. </w:t>
      </w:r>
    </w:p>
    <w:p w14:paraId="31A2988D" w14:textId="77777777" w:rsidR="007A4C48" w:rsidRPr="00577043" w:rsidRDefault="007A4C48" w:rsidP="00D02DE0">
      <w:pPr>
        <w:rPr>
          <w:rFonts w:eastAsia="Times New Roman" w:cs="Times New Roman"/>
          <w:bCs/>
          <w:color w:val="000000"/>
          <w:lang w:eastAsia="da-DK"/>
        </w:rPr>
      </w:pPr>
    </w:p>
    <w:p w14:paraId="45C31E75" w14:textId="77777777" w:rsidR="0073248F" w:rsidRPr="00577043" w:rsidRDefault="00A85394" w:rsidP="0073248F">
      <w:pPr>
        <w:rPr>
          <w:rFonts w:eastAsia="Times New Roman" w:cs="Times New Roman"/>
          <w:bCs/>
          <w:color w:val="000000"/>
          <w:lang w:eastAsia="da-DK"/>
        </w:rPr>
      </w:pPr>
      <w:r w:rsidRPr="00577043">
        <w:rPr>
          <w:rFonts w:eastAsia="Times New Roman" w:cs="Times New Roman"/>
          <w:bCs/>
          <w:color w:val="000000"/>
          <w:lang w:eastAsia="da-DK"/>
        </w:rPr>
        <w:t xml:space="preserve">Ansøgninger skal således </w:t>
      </w:r>
      <w:r w:rsidR="001F1E13">
        <w:rPr>
          <w:rFonts w:eastAsia="Times New Roman" w:cs="Times New Roman"/>
          <w:bCs/>
          <w:color w:val="000000"/>
          <w:lang w:eastAsia="da-DK"/>
        </w:rPr>
        <w:t xml:space="preserve">i dag </w:t>
      </w:r>
      <w:r w:rsidRPr="00577043">
        <w:rPr>
          <w:rFonts w:eastAsia="Times New Roman" w:cs="Times New Roman"/>
          <w:bCs/>
          <w:color w:val="000000"/>
          <w:lang w:eastAsia="da-DK"/>
        </w:rPr>
        <w:t>udformes efter to separate regelsæt</w:t>
      </w:r>
      <w:r w:rsidR="0073248F" w:rsidRPr="00577043">
        <w:rPr>
          <w:rFonts w:eastAsia="Times New Roman" w:cs="Times New Roman"/>
          <w:bCs/>
          <w:color w:val="000000"/>
          <w:lang w:eastAsia="da-DK"/>
        </w:rPr>
        <w:t xml:space="preserve">, og </w:t>
      </w:r>
      <w:r w:rsidR="0058651B">
        <w:rPr>
          <w:rFonts w:eastAsia="Times New Roman" w:cs="Times New Roman"/>
          <w:bCs/>
          <w:color w:val="000000"/>
          <w:lang w:eastAsia="da-DK"/>
        </w:rPr>
        <w:t>Lægemiddelstyrelsen</w:t>
      </w:r>
      <w:r w:rsidR="0073248F" w:rsidRPr="00577043">
        <w:rPr>
          <w:rFonts w:eastAsia="Times New Roman" w:cs="Times New Roman"/>
          <w:bCs/>
          <w:color w:val="000000"/>
          <w:lang w:eastAsia="da-DK"/>
        </w:rPr>
        <w:t xml:space="preserve"> og den kompetente videnskabsetiske komité træffer hver sin separate afgørelse om tilladelse til kliniske forsøg med lægemidler.</w:t>
      </w:r>
    </w:p>
    <w:p w14:paraId="6974420C" w14:textId="77777777" w:rsidR="0073248F" w:rsidRPr="00577043" w:rsidRDefault="0073248F" w:rsidP="00D02DE0">
      <w:pPr>
        <w:rPr>
          <w:rFonts w:eastAsia="Times New Roman" w:cs="Times New Roman"/>
          <w:bCs/>
          <w:color w:val="000000"/>
          <w:lang w:eastAsia="da-DK"/>
        </w:rPr>
      </w:pPr>
    </w:p>
    <w:p w14:paraId="2C16B481" w14:textId="77777777" w:rsidR="00A85394" w:rsidRPr="00577043" w:rsidRDefault="00A85394" w:rsidP="00D02DE0">
      <w:pPr>
        <w:rPr>
          <w:rFonts w:eastAsia="Times New Roman" w:cs="Times New Roman"/>
          <w:bCs/>
          <w:color w:val="000000"/>
          <w:lang w:eastAsia="da-DK"/>
        </w:rPr>
      </w:pPr>
      <w:r w:rsidRPr="00577043">
        <w:rPr>
          <w:rFonts w:eastAsia="Times New Roman" w:cs="Times New Roman"/>
          <w:bCs/>
          <w:color w:val="000000"/>
          <w:lang w:eastAsia="da-DK"/>
        </w:rPr>
        <w:t xml:space="preserve">Reglerne </w:t>
      </w:r>
      <w:r w:rsidR="0073248F" w:rsidRPr="00577043">
        <w:rPr>
          <w:rFonts w:eastAsia="Times New Roman" w:cs="Times New Roman"/>
          <w:bCs/>
          <w:color w:val="000000"/>
          <w:lang w:eastAsia="da-DK"/>
        </w:rPr>
        <w:t>for ansøgning om tilladelse til gennemførelse af et klinisk forsøg med lægemidler er som nævnt i afsnit 1f</w:t>
      </w:r>
      <w:r w:rsidRPr="00577043">
        <w:rPr>
          <w:rFonts w:eastAsia="Times New Roman" w:cs="Times New Roman"/>
          <w:bCs/>
          <w:color w:val="000000"/>
          <w:lang w:eastAsia="da-DK"/>
        </w:rPr>
        <w:t xml:space="preserve">astsat af hver enkelt medlemsstat i EU og </w:t>
      </w:r>
      <w:r w:rsidR="0073248F" w:rsidRPr="00577043">
        <w:rPr>
          <w:rFonts w:eastAsia="Times New Roman" w:cs="Times New Roman"/>
          <w:bCs/>
          <w:color w:val="000000"/>
          <w:lang w:eastAsia="da-DK"/>
        </w:rPr>
        <w:t xml:space="preserve">omfatter derfor </w:t>
      </w:r>
      <w:r w:rsidRPr="00577043">
        <w:rPr>
          <w:rFonts w:eastAsia="Times New Roman" w:cs="Times New Roman"/>
          <w:bCs/>
          <w:color w:val="000000"/>
          <w:lang w:eastAsia="da-DK"/>
        </w:rPr>
        <w:t>forskellige krav til udformning og procedure.</w:t>
      </w:r>
    </w:p>
    <w:p w14:paraId="7E179326" w14:textId="77777777" w:rsidR="00A85394" w:rsidRPr="00577043" w:rsidRDefault="00A85394" w:rsidP="00D02DE0">
      <w:pPr>
        <w:rPr>
          <w:rFonts w:eastAsia="Times New Roman" w:cs="Times New Roman"/>
          <w:bCs/>
          <w:color w:val="000000"/>
          <w:lang w:eastAsia="da-DK"/>
        </w:rPr>
      </w:pPr>
    </w:p>
    <w:p w14:paraId="69751449" w14:textId="77777777" w:rsidR="005671BD" w:rsidRPr="00577043" w:rsidRDefault="00143149" w:rsidP="002F560F">
      <w:pPr>
        <w:rPr>
          <w:i/>
          <w:lang w:eastAsia="da-DK"/>
        </w:rPr>
      </w:pPr>
      <w:r w:rsidRPr="00577043">
        <w:rPr>
          <w:i/>
          <w:lang w:eastAsia="da-DK"/>
        </w:rPr>
        <w:t>2.</w:t>
      </w:r>
      <w:r w:rsidR="001511E7" w:rsidRPr="00577043">
        <w:rPr>
          <w:i/>
          <w:lang w:eastAsia="da-DK"/>
        </w:rPr>
        <w:t>2</w:t>
      </w:r>
      <w:r w:rsidRPr="00577043">
        <w:rPr>
          <w:i/>
          <w:lang w:eastAsia="da-DK"/>
        </w:rPr>
        <w:t>.</w:t>
      </w:r>
      <w:r w:rsidR="001511E7" w:rsidRPr="00577043">
        <w:rPr>
          <w:i/>
          <w:lang w:eastAsia="da-DK"/>
        </w:rPr>
        <w:t>2</w:t>
      </w:r>
      <w:r w:rsidRPr="00577043">
        <w:rPr>
          <w:i/>
          <w:lang w:eastAsia="da-DK"/>
        </w:rPr>
        <w:t xml:space="preserve">. </w:t>
      </w:r>
      <w:r w:rsidR="005671BD" w:rsidRPr="00577043">
        <w:rPr>
          <w:i/>
          <w:lang w:eastAsia="da-DK"/>
        </w:rPr>
        <w:t>Forslag</w:t>
      </w:r>
    </w:p>
    <w:p w14:paraId="4B981B8C" w14:textId="77777777" w:rsidR="00641059" w:rsidRPr="00577043" w:rsidRDefault="00641059" w:rsidP="00D02DE0">
      <w:pPr>
        <w:rPr>
          <w:lang w:eastAsia="da-DK"/>
        </w:rPr>
      </w:pPr>
    </w:p>
    <w:p w14:paraId="25659A56" w14:textId="77777777" w:rsidR="0036608A" w:rsidRPr="00577043" w:rsidRDefault="001511E7" w:rsidP="003B74D6">
      <w:pPr>
        <w:pStyle w:val="Overskrift5"/>
        <w:rPr>
          <w:rFonts w:eastAsia="Times New Roman"/>
          <w:lang w:eastAsia="da-DK"/>
        </w:rPr>
      </w:pPr>
      <w:r w:rsidRPr="00577043">
        <w:rPr>
          <w:rFonts w:eastAsia="Times New Roman"/>
          <w:lang w:eastAsia="da-DK"/>
        </w:rPr>
        <w:t>2.2.2</w:t>
      </w:r>
      <w:r w:rsidR="005671BD" w:rsidRPr="00577043">
        <w:rPr>
          <w:rFonts w:eastAsia="Times New Roman"/>
          <w:lang w:eastAsia="da-DK"/>
        </w:rPr>
        <w:t xml:space="preserve">.1. </w:t>
      </w:r>
      <w:r w:rsidR="00641059" w:rsidRPr="00577043">
        <w:rPr>
          <w:rFonts w:eastAsia="Times New Roman"/>
          <w:lang w:eastAsia="da-DK"/>
        </w:rPr>
        <w:t xml:space="preserve">Kompetence til vurdering af aspekter omfattet af hhv. del I og </w:t>
      </w:r>
      <w:r w:rsidR="001C7428">
        <w:rPr>
          <w:rFonts w:eastAsia="Times New Roman"/>
          <w:lang w:eastAsia="da-DK"/>
        </w:rPr>
        <w:t>I</w:t>
      </w:r>
      <w:r w:rsidR="00641059" w:rsidRPr="00577043">
        <w:rPr>
          <w:rFonts w:eastAsia="Times New Roman"/>
          <w:lang w:eastAsia="da-DK"/>
        </w:rPr>
        <w:t>I af v</w:t>
      </w:r>
      <w:r w:rsidR="00143149" w:rsidRPr="00577043">
        <w:rPr>
          <w:rFonts w:eastAsia="Times New Roman"/>
          <w:lang w:eastAsia="da-DK"/>
        </w:rPr>
        <w:t xml:space="preserve">urderingsrapporten </w:t>
      </w:r>
      <w:r w:rsidR="0036608A" w:rsidRPr="00577043">
        <w:rPr>
          <w:rFonts w:eastAsia="Times New Roman"/>
          <w:lang w:eastAsia="da-DK"/>
        </w:rPr>
        <w:t xml:space="preserve"> </w:t>
      </w:r>
    </w:p>
    <w:p w14:paraId="45DE8BDD" w14:textId="77777777" w:rsidR="000F7FD2" w:rsidRPr="00577043" w:rsidRDefault="000F7FD2" w:rsidP="000F7FD2">
      <w:pPr>
        <w:keepNext/>
        <w:rPr>
          <w:rFonts w:eastAsia="Times New Roman" w:cs="Times New Roman"/>
          <w:bCs/>
          <w:color w:val="000000"/>
          <w:lang w:eastAsia="da-DK"/>
        </w:rPr>
      </w:pPr>
      <w:r w:rsidRPr="00577043">
        <w:rPr>
          <w:rFonts w:eastAsia="Times New Roman" w:cs="Times New Roman"/>
          <w:bCs/>
          <w:color w:val="000000"/>
          <w:lang w:eastAsia="da-DK"/>
        </w:rPr>
        <w:t xml:space="preserve">Sponsor </w:t>
      </w:r>
      <w:r w:rsidR="00AB405C">
        <w:rPr>
          <w:rFonts w:eastAsia="Times New Roman" w:cs="Times New Roman"/>
          <w:bCs/>
          <w:color w:val="000000"/>
          <w:lang w:eastAsia="da-DK"/>
        </w:rPr>
        <w:t xml:space="preserve">skal </w:t>
      </w:r>
      <w:r w:rsidRPr="00577043">
        <w:rPr>
          <w:rFonts w:eastAsia="Times New Roman" w:cs="Times New Roman"/>
          <w:bCs/>
          <w:color w:val="000000"/>
          <w:lang w:eastAsia="da-DK"/>
        </w:rPr>
        <w:t xml:space="preserve">indgive </w:t>
      </w:r>
      <w:r w:rsidR="00AB405C">
        <w:rPr>
          <w:rFonts w:eastAsia="Times New Roman" w:cs="Times New Roman"/>
          <w:bCs/>
          <w:color w:val="000000"/>
          <w:lang w:eastAsia="da-DK"/>
        </w:rPr>
        <w:t>e</w:t>
      </w:r>
      <w:r w:rsidRPr="00577043">
        <w:rPr>
          <w:rFonts w:eastAsia="Times New Roman" w:cs="Times New Roman"/>
          <w:bCs/>
          <w:color w:val="000000"/>
          <w:lang w:eastAsia="da-DK"/>
        </w:rPr>
        <w:t>t ansøgningsdossier via en fælles EU-portal</w:t>
      </w:r>
      <w:r w:rsidR="006F182A" w:rsidRPr="00577043">
        <w:rPr>
          <w:rFonts w:eastAsia="Times New Roman" w:cs="Times New Roman"/>
          <w:bCs/>
          <w:color w:val="000000"/>
          <w:lang w:eastAsia="da-DK"/>
        </w:rPr>
        <w:t>, jf. forordningens art</w:t>
      </w:r>
      <w:r w:rsidR="00522513">
        <w:rPr>
          <w:rFonts w:eastAsia="Times New Roman" w:cs="Times New Roman"/>
          <w:bCs/>
          <w:color w:val="000000"/>
          <w:lang w:eastAsia="da-DK"/>
        </w:rPr>
        <w:t>ikel</w:t>
      </w:r>
      <w:r w:rsidR="006F182A" w:rsidRPr="00577043">
        <w:rPr>
          <w:rFonts w:eastAsia="Times New Roman" w:cs="Times New Roman"/>
          <w:bCs/>
          <w:color w:val="000000"/>
          <w:lang w:eastAsia="da-DK"/>
        </w:rPr>
        <w:t xml:space="preserve"> 5</w:t>
      </w:r>
      <w:r w:rsidRPr="00577043">
        <w:rPr>
          <w:rFonts w:eastAsia="Times New Roman" w:cs="Times New Roman"/>
          <w:bCs/>
          <w:color w:val="000000"/>
          <w:lang w:eastAsia="da-DK"/>
        </w:rPr>
        <w:t>. Ansøgningen gælder alle de medlemsstater, som sponsor søger godkendelse hos (”de berørte medlemsstater”). Data fra ansøgningerne og vedrørende gennemførelsen af de kliniske forsøg skal registreres i en fælles EU-database. De berørte medlemsstater kommunikerer via EU-portalen og henter oplysninger om ansøgninger m</w:t>
      </w:r>
      <w:r w:rsidR="00094421">
        <w:rPr>
          <w:rFonts w:eastAsia="Times New Roman" w:cs="Times New Roman"/>
          <w:bCs/>
          <w:color w:val="000000"/>
          <w:lang w:eastAsia="da-DK"/>
        </w:rPr>
        <w:t>.</w:t>
      </w:r>
      <w:r w:rsidRPr="00577043">
        <w:rPr>
          <w:rFonts w:eastAsia="Times New Roman" w:cs="Times New Roman"/>
          <w:bCs/>
          <w:color w:val="000000"/>
          <w:lang w:eastAsia="da-DK"/>
        </w:rPr>
        <w:t>v. fra EU-Databasen.</w:t>
      </w:r>
    </w:p>
    <w:p w14:paraId="05A88716" w14:textId="77777777" w:rsidR="000F7FD2" w:rsidRPr="00577043" w:rsidRDefault="000F7FD2" w:rsidP="006F23E9">
      <w:pPr>
        <w:rPr>
          <w:rFonts w:eastAsia="Times New Roman" w:cs="Times New Roman"/>
          <w:bCs/>
          <w:color w:val="000000"/>
          <w:lang w:eastAsia="da-DK"/>
        </w:rPr>
      </w:pPr>
    </w:p>
    <w:p w14:paraId="2D531CC0" w14:textId="77777777" w:rsidR="00EB2575" w:rsidRPr="00577043" w:rsidRDefault="003C3618" w:rsidP="00EB2575">
      <w:pPr>
        <w:rPr>
          <w:rFonts w:eastAsia="Times New Roman" w:cs="Times New Roman"/>
          <w:bCs/>
          <w:color w:val="000000"/>
          <w:lang w:eastAsia="da-DK"/>
        </w:rPr>
      </w:pPr>
      <w:r w:rsidRPr="00577043">
        <w:rPr>
          <w:rFonts w:eastAsia="Times New Roman" w:cs="Times New Roman"/>
          <w:bCs/>
          <w:color w:val="000000"/>
          <w:lang w:eastAsia="da-DK"/>
        </w:rPr>
        <w:t>Det følger af forordningens art</w:t>
      </w:r>
      <w:r w:rsidR="00522513">
        <w:rPr>
          <w:rFonts w:eastAsia="Times New Roman" w:cs="Times New Roman"/>
          <w:bCs/>
          <w:color w:val="000000"/>
          <w:lang w:eastAsia="da-DK"/>
        </w:rPr>
        <w:t>ikel</w:t>
      </w:r>
      <w:r w:rsidRPr="00577043">
        <w:rPr>
          <w:rFonts w:eastAsia="Times New Roman" w:cs="Times New Roman"/>
          <w:bCs/>
          <w:color w:val="000000"/>
          <w:lang w:eastAsia="da-DK"/>
        </w:rPr>
        <w:t xml:space="preserve"> 4, </w:t>
      </w:r>
      <w:r w:rsidR="00791117" w:rsidRPr="00577043">
        <w:rPr>
          <w:rFonts w:eastAsia="Times New Roman" w:cs="Times New Roman"/>
          <w:bCs/>
          <w:color w:val="000000"/>
          <w:lang w:eastAsia="da-DK"/>
        </w:rPr>
        <w:t xml:space="preserve">at et klinisk forsøg skal underkastes en videnskabelig og etisk vurdering og godkendes i overensstemmelse med forordningen. Den etiske vurdering skal foretages af en etisk komité i overensstemmelse med lovgivningen i den berørte medlemsstat. </w:t>
      </w:r>
    </w:p>
    <w:p w14:paraId="6882CFB5" w14:textId="77777777" w:rsidR="00791117" w:rsidRPr="00577043" w:rsidRDefault="00791117" w:rsidP="006F23E9">
      <w:pPr>
        <w:rPr>
          <w:rFonts w:eastAsia="Times New Roman" w:cs="Times New Roman"/>
          <w:bCs/>
          <w:color w:val="000000"/>
          <w:lang w:eastAsia="da-DK"/>
        </w:rPr>
      </w:pPr>
    </w:p>
    <w:p w14:paraId="7D674A69" w14:textId="77777777" w:rsidR="005F350D" w:rsidRDefault="00035F77" w:rsidP="005F350D">
      <w:pPr>
        <w:rPr>
          <w:rFonts w:eastAsia="Times New Roman" w:cs="Times New Roman"/>
          <w:bCs/>
          <w:color w:val="000000"/>
          <w:lang w:eastAsia="da-DK"/>
        </w:rPr>
      </w:pPr>
      <w:r>
        <w:rPr>
          <w:rFonts w:eastAsia="Times New Roman" w:cs="Times New Roman"/>
          <w:bCs/>
          <w:color w:val="000000"/>
          <w:lang w:eastAsia="da-DK"/>
        </w:rPr>
        <w:lastRenderedPageBreak/>
        <w:t>Det følger desuden af</w:t>
      </w:r>
      <w:r w:rsidR="009339F1">
        <w:rPr>
          <w:rFonts w:eastAsia="Times New Roman" w:cs="Times New Roman"/>
          <w:bCs/>
          <w:color w:val="000000"/>
          <w:lang w:eastAsia="da-DK"/>
        </w:rPr>
        <w:t xml:space="preserve"> </w:t>
      </w:r>
      <w:r w:rsidR="005F350D">
        <w:rPr>
          <w:rFonts w:eastAsia="Times New Roman" w:cs="Times New Roman"/>
          <w:bCs/>
          <w:color w:val="000000"/>
          <w:lang w:eastAsia="da-DK"/>
        </w:rPr>
        <w:t>forordningens artikel 10, stk. 1, at hvis forsøgspersonerne er mindreårige, skal der ved vurderingen af ansøgningen om godkendelse af det kliniske forsøg lægges særligt vægt på pædiatrisk ekspertise eller på indhentning af rådgivning om kliniske, etisk</w:t>
      </w:r>
      <w:r>
        <w:rPr>
          <w:rFonts w:eastAsia="Times New Roman" w:cs="Times New Roman"/>
          <w:bCs/>
          <w:color w:val="000000"/>
          <w:lang w:eastAsia="da-DK"/>
        </w:rPr>
        <w:t>e</w:t>
      </w:r>
      <w:r w:rsidR="005F350D">
        <w:rPr>
          <w:rFonts w:eastAsia="Times New Roman" w:cs="Times New Roman"/>
          <w:bCs/>
          <w:color w:val="000000"/>
          <w:lang w:eastAsia="da-DK"/>
        </w:rPr>
        <w:t xml:space="preserve"> og psykosociale spørgsmål </w:t>
      </w:r>
      <w:r w:rsidR="00E53C17">
        <w:rPr>
          <w:rFonts w:eastAsia="Times New Roman" w:cs="Times New Roman"/>
          <w:bCs/>
          <w:color w:val="000000"/>
          <w:lang w:eastAsia="da-DK"/>
        </w:rPr>
        <w:t>om</w:t>
      </w:r>
      <w:r w:rsidR="005F350D">
        <w:rPr>
          <w:rFonts w:eastAsia="Times New Roman" w:cs="Times New Roman"/>
          <w:bCs/>
          <w:color w:val="000000"/>
          <w:lang w:eastAsia="da-DK"/>
        </w:rPr>
        <w:t xml:space="preserve"> pædiatri. </w:t>
      </w:r>
    </w:p>
    <w:p w14:paraId="7E9EA16A" w14:textId="77777777" w:rsidR="005F350D" w:rsidRDefault="005F350D" w:rsidP="005F350D">
      <w:pPr>
        <w:tabs>
          <w:tab w:val="left" w:pos="3390"/>
        </w:tabs>
        <w:rPr>
          <w:rFonts w:eastAsia="Times New Roman" w:cs="Times New Roman"/>
          <w:bCs/>
          <w:color w:val="000000"/>
          <w:lang w:eastAsia="da-DK"/>
        </w:rPr>
      </w:pPr>
      <w:r>
        <w:rPr>
          <w:rFonts w:eastAsia="Times New Roman" w:cs="Times New Roman"/>
          <w:bCs/>
          <w:color w:val="000000"/>
          <w:lang w:eastAsia="da-DK"/>
        </w:rPr>
        <w:tab/>
      </w:r>
    </w:p>
    <w:p w14:paraId="26A368B4" w14:textId="77777777" w:rsidR="005F350D" w:rsidRDefault="00035F77" w:rsidP="005F350D">
      <w:pPr>
        <w:rPr>
          <w:rFonts w:eastAsia="Times New Roman" w:cs="Times New Roman"/>
          <w:bCs/>
          <w:color w:val="000000"/>
          <w:lang w:eastAsia="da-DK"/>
        </w:rPr>
      </w:pPr>
      <w:r>
        <w:rPr>
          <w:rFonts w:eastAsia="Times New Roman" w:cs="Times New Roman"/>
          <w:bCs/>
          <w:color w:val="000000"/>
          <w:lang w:eastAsia="da-DK"/>
        </w:rPr>
        <w:t>Ifølge forordningens art</w:t>
      </w:r>
      <w:r w:rsidR="004D355A">
        <w:rPr>
          <w:rFonts w:eastAsia="Times New Roman" w:cs="Times New Roman"/>
          <w:bCs/>
          <w:color w:val="000000"/>
          <w:lang w:eastAsia="da-DK"/>
        </w:rPr>
        <w:t>ikel</w:t>
      </w:r>
      <w:r w:rsidR="005F350D">
        <w:rPr>
          <w:rFonts w:eastAsia="Times New Roman" w:cs="Times New Roman"/>
          <w:bCs/>
          <w:color w:val="000000"/>
          <w:lang w:eastAsia="da-DK"/>
        </w:rPr>
        <w:t xml:space="preserve"> 10, stk. 2, </w:t>
      </w:r>
      <w:r>
        <w:rPr>
          <w:rFonts w:eastAsia="Times New Roman" w:cs="Times New Roman"/>
          <w:bCs/>
          <w:color w:val="000000"/>
          <w:lang w:eastAsia="da-DK"/>
        </w:rPr>
        <w:t>skal der</w:t>
      </w:r>
      <w:r w:rsidR="005F350D">
        <w:rPr>
          <w:rFonts w:eastAsia="Times New Roman" w:cs="Times New Roman"/>
          <w:bCs/>
          <w:color w:val="000000"/>
          <w:lang w:eastAsia="da-DK"/>
        </w:rPr>
        <w:t xml:space="preserve"> ligeledes skal lægges vægt på ekspertise inden for den pågældende sygdom og patientgruppe, såfremt der er tale om forsøgspersoner uden handleevne. Bestemmelserne svarer i vidt omfang til art</w:t>
      </w:r>
      <w:r w:rsidR="004D355A">
        <w:rPr>
          <w:rFonts w:eastAsia="Times New Roman" w:cs="Times New Roman"/>
          <w:bCs/>
          <w:color w:val="000000"/>
          <w:lang w:eastAsia="da-DK"/>
        </w:rPr>
        <w:t>ikel</w:t>
      </w:r>
      <w:r w:rsidR="005F350D">
        <w:rPr>
          <w:rFonts w:eastAsia="Times New Roman" w:cs="Times New Roman"/>
          <w:bCs/>
          <w:color w:val="000000"/>
          <w:lang w:eastAsia="da-DK"/>
        </w:rPr>
        <w:t xml:space="preserve"> 4, litra g og art</w:t>
      </w:r>
      <w:r w:rsidR="004D355A">
        <w:rPr>
          <w:rFonts w:eastAsia="Times New Roman" w:cs="Times New Roman"/>
          <w:bCs/>
          <w:color w:val="000000"/>
          <w:lang w:eastAsia="da-DK"/>
        </w:rPr>
        <w:t>ikel</w:t>
      </w:r>
      <w:r w:rsidR="005F350D">
        <w:rPr>
          <w:rFonts w:eastAsia="Times New Roman" w:cs="Times New Roman"/>
          <w:bCs/>
          <w:color w:val="000000"/>
          <w:lang w:eastAsia="da-DK"/>
        </w:rPr>
        <w:t xml:space="preserve"> 5, litra g i direktiv 2001/20/EF, som er implementeret i den gældende komitélovs § 22, stk. 2.</w:t>
      </w:r>
    </w:p>
    <w:p w14:paraId="65F48B58" w14:textId="77777777" w:rsidR="005F350D" w:rsidRDefault="005F350D" w:rsidP="00791117">
      <w:pPr>
        <w:rPr>
          <w:rFonts w:eastAsia="Times New Roman" w:cs="Times New Roman"/>
          <w:bCs/>
          <w:color w:val="000000"/>
          <w:lang w:eastAsia="da-DK"/>
        </w:rPr>
      </w:pPr>
    </w:p>
    <w:p w14:paraId="71929385" w14:textId="77777777" w:rsidR="00035F77" w:rsidRDefault="00035F77" w:rsidP="00791117">
      <w:pPr>
        <w:rPr>
          <w:rFonts w:eastAsia="Times New Roman" w:cs="Times New Roman"/>
          <w:bCs/>
          <w:color w:val="000000"/>
          <w:lang w:eastAsia="da-DK"/>
        </w:rPr>
      </w:pPr>
      <w:r>
        <w:rPr>
          <w:rFonts w:eastAsia="Times New Roman" w:cs="Times New Roman"/>
          <w:bCs/>
          <w:color w:val="000000"/>
          <w:lang w:eastAsia="da-DK"/>
        </w:rPr>
        <w:t>Endelig skal der ifølge forordningens art</w:t>
      </w:r>
      <w:r w:rsidR="004D355A">
        <w:rPr>
          <w:rFonts w:eastAsia="Times New Roman" w:cs="Times New Roman"/>
          <w:bCs/>
          <w:color w:val="000000"/>
          <w:lang w:eastAsia="da-DK"/>
        </w:rPr>
        <w:t>ikel</w:t>
      </w:r>
      <w:r>
        <w:rPr>
          <w:rFonts w:eastAsia="Times New Roman" w:cs="Times New Roman"/>
          <w:bCs/>
          <w:color w:val="000000"/>
          <w:lang w:eastAsia="da-DK"/>
        </w:rPr>
        <w:t xml:space="preserve"> 10, stk. 3, </w:t>
      </w:r>
      <w:r w:rsidR="00CD3F55">
        <w:rPr>
          <w:rFonts w:eastAsia="Times New Roman" w:cs="Times New Roman"/>
          <w:bCs/>
          <w:color w:val="000000"/>
          <w:lang w:eastAsia="da-DK"/>
        </w:rPr>
        <w:t>i forbindelse med forsøg med forsøgspersoner, som er gravide eller ammende, ved vurderingen af ansøgningen lægges særlig vægt på ekspertise inden for de pågældende tilstande og den befolkningsgruppe, som den pågældende forsøgsperson repræsenterer.</w:t>
      </w:r>
    </w:p>
    <w:p w14:paraId="1F324C61" w14:textId="77777777" w:rsidR="00035F77" w:rsidRDefault="00035F77" w:rsidP="00791117">
      <w:pPr>
        <w:rPr>
          <w:rFonts w:eastAsia="Times New Roman" w:cs="Times New Roman"/>
          <w:bCs/>
          <w:color w:val="000000"/>
          <w:lang w:eastAsia="da-DK"/>
        </w:rPr>
      </w:pPr>
    </w:p>
    <w:p w14:paraId="67A8F0D7" w14:textId="77777777" w:rsidR="00791117" w:rsidRPr="00577043" w:rsidRDefault="00897844" w:rsidP="00791117">
      <w:pPr>
        <w:rPr>
          <w:rFonts w:eastAsia="Times New Roman" w:cs="Times New Roman"/>
          <w:bCs/>
          <w:color w:val="000000"/>
          <w:lang w:eastAsia="da-DK"/>
        </w:rPr>
      </w:pPr>
      <w:r w:rsidRPr="00577043">
        <w:rPr>
          <w:rFonts w:eastAsia="Times New Roman" w:cs="Times New Roman"/>
          <w:bCs/>
          <w:color w:val="000000"/>
          <w:lang w:eastAsia="da-DK"/>
        </w:rPr>
        <w:t>Medlemsstaternes</w:t>
      </w:r>
      <w:r w:rsidR="006F23E9" w:rsidRPr="00577043">
        <w:rPr>
          <w:rFonts w:eastAsia="Times New Roman" w:cs="Times New Roman"/>
          <w:bCs/>
          <w:color w:val="000000"/>
          <w:lang w:eastAsia="da-DK"/>
        </w:rPr>
        <w:t xml:space="preserve"> vurdering af en ansøgning om gennemførelse af </w:t>
      </w:r>
      <w:r w:rsidRPr="00577043">
        <w:rPr>
          <w:rFonts w:eastAsia="Times New Roman" w:cs="Times New Roman"/>
          <w:bCs/>
          <w:color w:val="000000"/>
          <w:lang w:eastAsia="da-DK"/>
        </w:rPr>
        <w:t xml:space="preserve">kliniske </w:t>
      </w:r>
      <w:r w:rsidR="006F23E9" w:rsidRPr="00577043">
        <w:rPr>
          <w:rFonts w:eastAsia="Times New Roman" w:cs="Times New Roman"/>
          <w:bCs/>
          <w:color w:val="000000"/>
          <w:lang w:eastAsia="da-DK"/>
        </w:rPr>
        <w:t xml:space="preserve">forsøg skal udmøntes i </w:t>
      </w:r>
      <w:r w:rsidR="00665480" w:rsidRPr="00577043">
        <w:rPr>
          <w:rFonts w:eastAsia="Times New Roman" w:cs="Times New Roman"/>
          <w:bCs/>
          <w:color w:val="000000"/>
          <w:lang w:eastAsia="da-DK"/>
        </w:rPr>
        <w:t>en vurderingsrapport, som består af to dele</w:t>
      </w:r>
      <w:r w:rsidR="006F23E9" w:rsidRPr="00577043">
        <w:rPr>
          <w:rFonts w:eastAsia="Times New Roman" w:cs="Times New Roman"/>
          <w:bCs/>
          <w:color w:val="000000"/>
          <w:lang w:eastAsia="da-DK"/>
        </w:rPr>
        <w:t xml:space="preserve">. </w:t>
      </w:r>
    </w:p>
    <w:p w14:paraId="572C4C82" w14:textId="77777777" w:rsidR="00CB29D3" w:rsidRPr="00577043" w:rsidRDefault="00CB29D3" w:rsidP="006F23E9">
      <w:pPr>
        <w:rPr>
          <w:rFonts w:eastAsia="Times New Roman" w:cs="Times New Roman"/>
          <w:bCs/>
          <w:color w:val="000000"/>
          <w:lang w:eastAsia="da-DK"/>
        </w:rPr>
      </w:pPr>
    </w:p>
    <w:p w14:paraId="5980005A" w14:textId="77777777" w:rsidR="00453962" w:rsidRDefault="0075209E" w:rsidP="006F23E9">
      <w:pPr>
        <w:rPr>
          <w:rFonts w:eastAsia="Times New Roman" w:cs="Times New Roman"/>
          <w:bCs/>
          <w:color w:val="000000"/>
          <w:lang w:eastAsia="da-DK"/>
        </w:rPr>
      </w:pPr>
      <w:r w:rsidRPr="00577043">
        <w:rPr>
          <w:rFonts w:eastAsia="Times New Roman" w:cs="Times New Roman"/>
          <w:bCs/>
          <w:color w:val="000000"/>
          <w:lang w:eastAsia="da-DK"/>
        </w:rPr>
        <w:t>A</w:t>
      </w:r>
      <w:r w:rsidR="005B45CB" w:rsidRPr="00577043">
        <w:rPr>
          <w:rFonts w:eastAsia="Times New Roman" w:cs="Times New Roman"/>
          <w:bCs/>
          <w:color w:val="000000"/>
          <w:lang w:eastAsia="da-DK"/>
        </w:rPr>
        <w:t>spekter</w:t>
      </w:r>
      <w:r w:rsidRPr="00577043">
        <w:rPr>
          <w:rFonts w:eastAsia="Times New Roman" w:cs="Times New Roman"/>
          <w:bCs/>
          <w:color w:val="000000"/>
          <w:lang w:eastAsia="da-DK"/>
        </w:rPr>
        <w:t>ne</w:t>
      </w:r>
      <w:r w:rsidR="005B45CB" w:rsidRPr="00577043">
        <w:rPr>
          <w:rFonts w:eastAsia="Times New Roman" w:cs="Times New Roman"/>
          <w:bCs/>
          <w:color w:val="000000"/>
          <w:lang w:eastAsia="da-DK"/>
        </w:rPr>
        <w:t xml:space="preserve"> omfattet af vu</w:t>
      </w:r>
      <w:r w:rsidR="006F23E9" w:rsidRPr="00577043">
        <w:rPr>
          <w:rFonts w:eastAsia="Times New Roman" w:cs="Times New Roman"/>
          <w:bCs/>
          <w:color w:val="000000"/>
          <w:lang w:eastAsia="da-DK"/>
        </w:rPr>
        <w:t xml:space="preserve">rderingsrapport </w:t>
      </w:r>
      <w:r w:rsidR="00B96462">
        <w:rPr>
          <w:rFonts w:eastAsia="Times New Roman" w:cs="Times New Roman"/>
          <w:bCs/>
          <w:color w:val="000000"/>
          <w:lang w:eastAsia="da-DK"/>
        </w:rPr>
        <w:t>de</w:t>
      </w:r>
      <w:r w:rsidR="00946F91">
        <w:rPr>
          <w:rFonts w:eastAsia="Times New Roman" w:cs="Times New Roman"/>
          <w:bCs/>
          <w:color w:val="000000"/>
          <w:lang w:eastAsia="da-DK"/>
        </w:rPr>
        <w:t xml:space="preserve">l </w:t>
      </w:r>
      <w:r w:rsidR="006F23E9" w:rsidRPr="00577043">
        <w:rPr>
          <w:rFonts w:eastAsia="Times New Roman" w:cs="Times New Roman"/>
          <w:bCs/>
          <w:color w:val="000000"/>
          <w:lang w:eastAsia="da-DK"/>
        </w:rPr>
        <w:t xml:space="preserve">I </w:t>
      </w:r>
      <w:r w:rsidR="003758DD" w:rsidRPr="00577043">
        <w:rPr>
          <w:rFonts w:eastAsia="Times New Roman" w:cs="Times New Roman"/>
          <w:bCs/>
          <w:color w:val="000000"/>
          <w:lang w:eastAsia="da-DK"/>
        </w:rPr>
        <w:t>omfatter bl.a. den forventede gevinst i terapeutisk henseende</w:t>
      </w:r>
      <w:r w:rsidR="006332DE" w:rsidRPr="00577043">
        <w:rPr>
          <w:rFonts w:eastAsia="Times New Roman" w:cs="Times New Roman"/>
          <w:bCs/>
          <w:color w:val="000000"/>
          <w:lang w:eastAsia="da-DK"/>
        </w:rPr>
        <w:t xml:space="preserve"> og for folkesundheden under hensyntagen til bl.a. forsøgslægemidlernes egenskaber og viden om forsøgslægemidlerne</w:t>
      </w:r>
      <w:r w:rsidR="003758DD" w:rsidRPr="00577043">
        <w:rPr>
          <w:rFonts w:eastAsia="Times New Roman" w:cs="Times New Roman"/>
          <w:bCs/>
          <w:color w:val="000000"/>
          <w:lang w:eastAsia="da-DK"/>
        </w:rPr>
        <w:t xml:space="preserve">, </w:t>
      </w:r>
      <w:r w:rsidR="006332DE" w:rsidRPr="00577043">
        <w:rPr>
          <w:rFonts w:eastAsia="Times New Roman" w:cs="Times New Roman"/>
          <w:bCs/>
          <w:color w:val="000000"/>
          <w:lang w:eastAsia="da-DK"/>
        </w:rPr>
        <w:t xml:space="preserve">det kliniske forsøgs relevans, </w:t>
      </w:r>
      <w:r w:rsidR="003758DD" w:rsidRPr="00577043">
        <w:rPr>
          <w:rFonts w:eastAsia="Times New Roman" w:cs="Times New Roman"/>
          <w:bCs/>
          <w:color w:val="000000"/>
          <w:lang w:eastAsia="da-DK"/>
        </w:rPr>
        <w:t>den aktuelle videnskabelige viden om bl.a. risici og ulemper for forsøgspersonen</w:t>
      </w:r>
      <w:r w:rsidR="006332DE" w:rsidRPr="00577043">
        <w:rPr>
          <w:rFonts w:eastAsia="Times New Roman" w:cs="Times New Roman"/>
          <w:bCs/>
          <w:color w:val="000000"/>
          <w:lang w:eastAsia="da-DK"/>
        </w:rPr>
        <w:t xml:space="preserve">, </w:t>
      </w:r>
      <w:r w:rsidR="003758DD" w:rsidRPr="00577043">
        <w:rPr>
          <w:rFonts w:eastAsia="Times New Roman" w:cs="Times New Roman"/>
          <w:bCs/>
          <w:color w:val="000000"/>
          <w:lang w:eastAsia="da-DK"/>
        </w:rPr>
        <w:t>m</w:t>
      </w:r>
      <w:r w:rsidR="00094421">
        <w:rPr>
          <w:rFonts w:eastAsia="Times New Roman" w:cs="Times New Roman"/>
          <w:bCs/>
          <w:color w:val="000000"/>
          <w:lang w:eastAsia="da-DK"/>
        </w:rPr>
        <w:t>.</w:t>
      </w:r>
      <w:r w:rsidR="003758DD" w:rsidRPr="00577043">
        <w:rPr>
          <w:rFonts w:eastAsia="Times New Roman" w:cs="Times New Roman"/>
          <w:bCs/>
          <w:color w:val="000000"/>
          <w:lang w:eastAsia="da-DK"/>
        </w:rPr>
        <w:t xml:space="preserve">v. og </w:t>
      </w:r>
      <w:r w:rsidR="005B45CB" w:rsidRPr="00577043">
        <w:rPr>
          <w:rFonts w:eastAsia="Times New Roman" w:cs="Times New Roman"/>
          <w:bCs/>
          <w:color w:val="000000"/>
          <w:lang w:eastAsia="da-DK"/>
        </w:rPr>
        <w:t>forudsætter</w:t>
      </w:r>
      <w:r w:rsidR="006F23E9" w:rsidRPr="00577043">
        <w:rPr>
          <w:rFonts w:eastAsia="Times New Roman" w:cs="Times New Roman"/>
          <w:bCs/>
          <w:color w:val="000000"/>
          <w:lang w:eastAsia="da-DK"/>
        </w:rPr>
        <w:t xml:space="preserve"> en </w:t>
      </w:r>
      <w:r w:rsidRPr="00577043">
        <w:rPr>
          <w:rFonts w:eastAsia="Times New Roman" w:cs="Times New Roman"/>
          <w:bCs/>
          <w:color w:val="000000"/>
          <w:lang w:eastAsia="da-DK"/>
        </w:rPr>
        <w:t xml:space="preserve">sundhedsfaglig vurdering. </w:t>
      </w:r>
      <w:r w:rsidR="006F182A" w:rsidRPr="00577043">
        <w:rPr>
          <w:rFonts w:eastAsia="Times New Roman" w:cs="Times New Roman"/>
          <w:bCs/>
          <w:color w:val="000000"/>
          <w:lang w:eastAsia="da-DK"/>
        </w:rPr>
        <w:t xml:space="preserve">En række </w:t>
      </w:r>
      <w:r w:rsidR="005B45CB" w:rsidRPr="00577043">
        <w:rPr>
          <w:rFonts w:eastAsia="Times New Roman" w:cs="Times New Roman"/>
          <w:bCs/>
          <w:color w:val="000000"/>
          <w:lang w:eastAsia="da-DK"/>
        </w:rPr>
        <w:t>aspekter</w:t>
      </w:r>
      <w:r w:rsidR="00665480" w:rsidRPr="00577043">
        <w:rPr>
          <w:rFonts w:eastAsia="Times New Roman" w:cs="Times New Roman"/>
          <w:bCs/>
          <w:color w:val="000000"/>
          <w:lang w:eastAsia="da-DK"/>
        </w:rPr>
        <w:t xml:space="preserve"> i del I</w:t>
      </w:r>
      <w:r w:rsidR="005B45CB" w:rsidRPr="00577043">
        <w:rPr>
          <w:rFonts w:eastAsia="Times New Roman" w:cs="Times New Roman"/>
          <w:bCs/>
          <w:color w:val="000000"/>
          <w:lang w:eastAsia="da-DK"/>
        </w:rPr>
        <w:t xml:space="preserve"> </w:t>
      </w:r>
      <w:r w:rsidRPr="00577043">
        <w:rPr>
          <w:rFonts w:eastAsia="Times New Roman" w:cs="Times New Roman"/>
          <w:bCs/>
          <w:color w:val="000000"/>
          <w:lang w:eastAsia="da-DK"/>
        </w:rPr>
        <w:t xml:space="preserve">forudsætter desuden </w:t>
      </w:r>
      <w:r w:rsidR="005B45CB" w:rsidRPr="00577043">
        <w:rPr>
          <w:rFonts w:eastAsia="Times New Roman" w:cs="Times New Roman"/>
          <w:bCs/>
          <w:color w:val="000000"/>
          <w:lang w:eastAsia="da-DK"/>
        </w:rPr>
        <w:t xml:space="preserve">en </w:t>
      </w:r>
      <w:r w:rsidR="006F23E9" w:rsidRPr="00577043">
        <w:rPr>
          <w:rFonts w:eastAsia="Times New Roman" w:cs="Times New Roman"/>
          <w:bCs/>
          <w:color w:val="000000"/>
          <w:lang w:eastAsia="da-DK"/>
        </w:rPr>
        <w:t>videnskabsetisk</w:t>
      </w:r>
      <w:r w:rsidR="005B45CB" w:rsidRPr="00577043">
        <w:rPr>
          <w:rFonts w:eastAsia="Times New Roman" w:cs="Times New Roman"/>
          <w:bCs/>
          <w:color w:val="000000"/>
          <w:lang w:eastAsia="da-DK"/>
        </w:rPr>
        <w:t xml:space="preserve"> vurdering</w:t>
      </w:r>
      <w:r w:rsidR="006F23E9" w:rsidRPr="00577043">
        <w:rPr>
          <w:rFonts w:eastAsia="Times New Roman" w:cs="Times New Roman"/>
          <w:bCs/>
          <w:color w:val="000000"/>
          <w:lang w:eastAsia="da-DK"/>
        </w:rPr>
        <w:t xml:space="preserve">. </w:t>
      </w:r>
    </w:p>
    <w:p w14:paraId="1E9A5078" w14:textId="77777777" w:rsidR="00453962" w:rsidRDefault="00453962" w:rsidP="006F23E9">
      <w:pPr>
        <w:rPr>
          <w:rFonts w:eastAsia="Times New Roman" w:cs="Times New Roman"/>
          <w:bCs/>
          <w:color w:val="000000"/>
          <w:lang w:eastAsia="da-DK"/>
        </w:rPr>
      </w:pPr>
    </w:p>
    <w:p w14:paraId="210DC1EB" w14:textId="77777777" w:rsidR="006F23E9" w:rsidRPr="00577043" w:rsidRDefault="006F23E9" w:rsidP="006F23E9">
      <w:pPr>
        <w:rPr>
          <w:rFonts w:eastAsia="Times New Roman" w:cs="Times New Roman"/>
          <w:bCs/>
          <w:color w:val="000000"/>
          <w:lang w:eastAsia="da-DK"/>
        </w:rPr>
      </w:pPr>
      <w:r w:rsidRPr="00577043">
        <w:rPr>
          <w:rFonts w:eastAsia="Times New Roman" w:cs="Times New Roman"/>
          <w:bCs/>
          <w:color w:val="000000"/>
          <w:lang w:eastAsia="da-DK"/>
        </w:rPr>
        <w:t>Det foreslås</w:t>
      </w:r>
      <w:r w:rsidR="00254391" w:rsidRPr="00577043">
        <w:rPr>
          <w:rFonts w:eastAsia="Times New Roman" w:cs="Times New Roman"/>
          <w:bCs/>
          <w:color w:val="000000"/>
          <w:lang w:eastAsia="da-DK"/>
        </w:rPr>
        <w:t xml:space="preserve"> derfor</w:t>
      </w:r>
      <w:r w:rsidR="00497F67">
        <w:rPr>
          <w:rFonts w:eastAsia="Times New Roman" w:cs="Times New Roman"/>
          <w:bCs/>
          <w:color w:val="000000"/>
          <w:lang w:eastAsia="da-DK"/>
        </w:rPr>
        <w:t xml:space="preserve"> med § </w:t>
      </w:r>
      <w:r w:rsidR="00DA7A74">
        <w:rPr>
          <w:rFonts w:eastAsia="Times New Roman" w:cs="Times New Roman"/>
          <w:bCs/>
          <w:color w:val="000000"/>
          <w:lang w:eastAsia="da-DK"/>
        </w:rPr>
        <w:t>10</w:t>
      </w:r>
      <w:r w:rsidR="00497F67">
        <w:rPr>
          <w:rFonts w:eastAsia="Times New Roman" w:cs="Times New Roman"/>
          <w:bCs/>
          <w:color w:val="000000"/>
          <w:lang w:eastAsia="da-DK"/>
        </w:rPr>
        <w:t xml:space="preserve">, stk. </w:t>
      </w:r>
      <w:r w:rsidR="00CB066C">
        <w:rPr>
          <w:rFonts w:eastAsia="Times New Roman" w:cs="Times New Roman"/>
          <w:bCs/>
          <w:color w:val="000000"/>
          <w:lang w:eastAsia="da-DK"/>
        </w:rPr>
        <w:t>4</w:t>
      </w:r>
      <w:r w:rsidRPr="00577043">
        <w:rPr>
          <w:rFonts w:eastAsia="Times New Roman" w:cs="Times New Roman"/>
          <w:bCs/>
          <w:color w:val="000000"/>
          <w:lang w:eastAsia="da-DK"/>
        </w:rPr>
        <w:t xml:space="preserve">, at </w:t>
      </w:r>
      <w:r w:rsidR="0058651B">
        <w:rPr>
          <w:rFonts w:eastAsia="Times New Roman" w:cs="Times New Roman"/>
          <w:bCs/>
          <w:color w:val="000000"/>
          <w:lang w:eastAsia="da-DK"/>
        </w:rPr>
        <w:t>Lægemiddelstyrelsen</w:t>
      </w:r>
      <w:r w:rsidRPr="00577043">
        <w:rPr>
          <w:rFonts w:eastAsia="Times New Roman" w:cs="Times New Roman"/>
          <w:bCs/>
          <w:color w:val="000000"/>
          <w:lang w:eastAsia="da-DK"/>
        </w:rPr>
        <w:t xml:space="preserve"> foretager den sundhedsfaglige vurdering af aspekterne omfattet af vurderingsrapport I</w:t>
      </w:r>
      <w:r w:rsidR="0075209E" w:rsidRPr="00577043">
        <w:rPr>
          <w:rFonts w:eastAsia="Times New Roman" w:cs="Times New Roman"/>
          <w:bCs/>
          <w:color w:val="000000"/>
          <w:lang w:eastAsia="da-DK"/>
        </w:rPr>
        <w:t xml:space="preserve">, og at </w:t>
      </w:r>
      <w:r w:rsidR="00665480" w:rsidRPr="00577043">
        <w:rPr>
          <w:rFonts w:eastAsia="Times New Roman" w:cs="Times New Roman"/>
          <w:bCs/>
          <w:color w:val="000000"/>
          <w:lang w:eastAsia="da-DK"/>
        </w:rPr>
        <w:t>e</w:t>
      </w:r>
      <w:r w:rsidR="0075209E" w:rsidRPr="00577043">
        <w:rPr>
          <w:rFonts w:eastAsia="Times New Roman" w:cs="Times New Roman"/>
          <w:bCs/>
          <w:color w:val="000000"/>
          <w:lang w:eastAsia="da-DK"/>
        </w:rPr>
        <w:t xml:space="preserve">n videnskabsetisk lægemiddelkomité </w:t>
      </w:r>
      <w:r w:rsidR="00665480" w:rsidRPr="00577043">
        <w:rPr>
          <w:rFonts w:eastAsia="Times New Roman" w:cs="Times New Roman"/>
          <w:bCs/>
          <w:color w:val="000000"/>
          <w:lang w:eastAsia="da-DK"/>
        </w:rPr>
        <w:t>v</w:t>
      </w:r>
      <w:r w:rsidR="0075209E" w:rsidRPr="00577043">
        <w:rPr>
          <w:rFonts w:eastAsia="Times New Roman" w:cs="Times New Roman"/>
          <w:bCs/>
          <w:color w:val="000000"/>
          <w:lang w:eastAsia="da-DK"/>
        </w:rPr>
        <w:t>urder</w:t>
      </w:r>
      <w:r w:rsidR="00665480" w:rsidRPr="00577043">
        <w:rPr>
          <w:rFonts w:eastAsia="Times New Roman" w:cs="Times New Roman"/>
          <w:bCs/>
          <w:color w:val="000000"/>
          <w:lang w:eastAsia="da-DK"/>
        </w:rPr>
        <w:t>er</w:t>
      </w:r>
      <w:r w:rsidR="0075209E" w:rsidRPr="00577043">
        <w:rPr>
          <w:rFonts w:eastAsia="Times New Roman" w:cs="Times New Roman"/>
          <w:bCs/>
          <w:color w:val="000000"/>
          <w:lang w:eastAsia="da-DK"/>
        </w:rPr>
        <w:t xml:space="preserve"> de aspekter, som også bør vurderes fra et videnskabsetisk perspektiv</w:t>
      </w:r>
      <w:r w:rsidR="00497F67">
        <w:rPr>
          <w:rFonts w:eastAsia="Times New Roman" w:cs="Times New Roman"/>
          <w:bCs/>
          <w:color w:val="000000"/>
          <w:lang w:eastAsia="da-DK"/>
        </w:rPr>
        <w:t xml:space="preserve">, jf. § </w:t>
      </w:r>
      <w:r w:rsidR="00DA7A74">
        <w:rPr>
          <w:rFonts w:eastAsia="Times New Roman" w:cs="Times New Roman"/>
          <w:bCs/>
          <w:color w:val="000000"/>
          <w:lang w:eastAsia="da-DK"/>
        </w:rPr>
        <w:t>10</w:t>
      </w:r>
      <w:r w:rsidR="00497F67">
        <w:rPr>
          <w:rFonts w:eastAsia="Times New Roman" w:cs="Times New Roman"/>
          <w:bCs/>
          <w:color w:val="000000"/>
          <w:lang w:eastAsia="da-DK"/>
        </w:rPr>
        <w:t xml:space="preserve">, stk. </w:t>
      </w:r>
      <w:r w:rsidR="00CB066C">
        <w:rPr>
          <w:rFonts w:eastAsia="Times New Roman" w:cs="Times New Roman"/>
          <w:bCs/>
          <w:color w:val="000000"/>
          <w:lang w:eastAsia="da-DK"/>
        </w:rPr>
        <w:t>5</w:t>
      </w:r>
      <w:r w:rsidR="0075209E" w:rsidRPr="00577043">
        <w:rPr>
          <w:rFonts w:eastAsia="Times New Roman" w:cs="Times New Roman"/>
          <w:bCs/>
          <w:color w:val="000000"/>
          <w:lang w:eastAsia="da-DK"/>
        </w:rPr>
        <w:t>.</w:t>
      </w:r>
      <w:r w:rsidRPr="00577043">
        <w:rPr>
          <w:rFonts w:eastAsia="Times New Roman" w:cs="Times New Roman"/>
          <w:bCs/>
          <w:color w:val="000000"/>
          <w:lang w:eastAsia="da-DK"/>
        </w:rPr>
        <w:t xml:space="preserve"> </w:t>
      </w:r>
    </w:p>
    <w:p w14:paraId="27D5224C" w14:textId="77777777" w:rsidR="006F23E9" w:rsidRPr="00577043" w:rsidRDefault="006F23E9" w:rsidP="006F23E9">
      <w:pPr>
        <w:rPr>
          <w:rFonts w:eastAsia="Times New Roman" w:cs="Times New Roman"/>
          <w:bCs/>
          <w:color w:val="000000"/>
          <w:lang w:eastAsia="da-DK"/>
        </w:rPr>
      </w:pPr>
    </w:p>
    <w:p w14:paraId="369193DA" w14:textId="77777777" w:rsidR="00547FAD" w:rsidRPr="00577043" w:rsidRDefault="00254391" w:rsidP="006F23E9">
      <w:pPr>
        <w:rPr>
          <w:rFonts w:eastAsia="Times New Roman" w:cs="Times New Roman"/>
          <w:bCs/>
          <w:color w:val="000000"/>
          <w:lang w:eastAsia="da-DK"/>
        </w:rPr>
      </w:pPr>
      <w:r w:rsidRPr="00577043">
        <w:rPr>
          <w:rFonts w:eastAsia="Times New Roman" w:cs="Times New Roman"/>
          <w:bCs/>
          <w:color w:val="000000"/>
          <w:lang w:eastAsia="da-DK"/>
        </w:rPr>
        <w:t>Det foreslås</w:t>
      </w:r>
      <w:r w:rsidR="00506CD0" w:rsidRPr="00577043">
        <w:rPr>
          <w:rFonts w:eastAsia="Times New Roman" w:cs="Times New Roman"/>
          <w:bCs/>
          <w:color w:val="000000"/>
          <w:lang w:eastAsia="da-DK"/>
        </w:rPr>
        <w:t xml:space="preserve"> </w:t>
      </w:r>
      <w:r w:rsidR="00932B87" w:rsidRPr="00577043">
        <w:rPr>
          <w:rFonts w:eastAsia="Times New Roman" w:cs="Times New Roman"/>
          <w:bCs/>
          <w:color w:val="000000"/>
          <w:lang w:eastAsia="da-DK"/>
        </w:rPr>
        <w:t>endvidere,</w:t>
      </w:r>
      <w:r w:rsidR="006F23E9" w:rsidRPr="00577043">
        <w:rPr>
          <w:rFonts w:eastAsia="Times New Roman" w:cs="Times New Roman"/>
          <w:bCs/>
          <w:color w:val="000000"/>
          <w:lang w:eastAsia="da-DK"/>
        </w:rPr>
        <w:t xml:space="preserve"> at </w:t>
      </w:r>
      <w:r w:rsidR="00A22EAD" w:rsidRPr="00577043">
        <w:rPr>
          <w:rFonts w:eastAsia="Times New Roman" w:cs="Times New Roman"/>
          <w:bCs/>
          <w:color w:val="000000"/>
          <w:lang w:eastAsia="da-DK"/>
        </w:rPr>
        <w:t>sundheds- og ældreministeren</w:t>
      </w:r>
      <w:r w:rsidR="006F23E9" w:rsidRPr="00577043">
        <w:rPr>
          <w:rFonts w:eastAsia="Times New Roman" w:cs="Times New Roman"/>
          <w:bCs/>
          <w:color w:val="000000"/>
          <w:lang w:eastAsia="da-DK"/>
        </w:rPr>
        <w:t xml:space="preserve"> bemyndiges til at fastsætte nærmere bestemmelser om, hvilke aspekter af vurderingsrapport del I, som </w:t>
      </w:r>
      <w:r w:rsidR="0075209E" w:rsidRPr="00577043">
        <w:rPr>
          <w:rFonts w:eastAsia="Times New Roman" w:cs="Times New Roman"/>
          <w:bCs/>
          <w:color w:val="000000"/>
          <w:lang w:eastAsia="da-DK"/>
        </w:rPr>
        <w:t xml:space="preserve">tillige skal vurderes af en videnskabsetisk </w:t>
      </w:r>
      <w:r w:rsidR="00443C0E">
        <w:rPr>
          <w:rFonts w:eastAsia="Times New Roman" w:cs="Times New Roman"/>
          <w:bCs/>
          <w:color w:val="000000"/>
          <w:lang w:eastAsia="da-DK"/>
        </w:rPr>
        <w:t>lægemiddel</w:t>
      </w:r>
      <w:r w:rsidR="0075209E" w:rsidRPr="00577043">
        <w:rPr>
          <w:rFonts w:eastAsia="Times New Roman" w:cs="Times New Roman"/>
          <w:bCs/>
          <w:color w:val="000000"/>
          <w:lang w:eastAsia="da-DK"/>
        </w:rPr>
        <w:t>komité</w:t>
      </w:r>
      <w:r w:rsidR="00D84EF6">
        <w:rPr>
          <w:rFonts w:eastAsia="Times New Roman" w:cs="Times New Roman"/>
          <w:bCs/>
          <w:color w:val="000000"/>
          <w:lang w:eastAsia="da-DK"/>
        </w:rPr>
        <w:t xml:space="preserve">, jf. § </w:t>
      </w:r>
      <w:r w:rsidR="00DA7A74">
        <w:rPr>
          <w:rFonts w:eastAsia="Times New Roman" w:cs="Times New Roman"/>
          <w:bCs/>
          <w:color w:val="000000"/>
          <w:lang w:eastAsia="da-DK"/>
        </w:rPr>
        <w:t>13</w:t>
      </w:r>
      <w:r w:rsidR="00D84EF6">
        <w:rPr>
          <w:rFonts w:eastAsia="Times New Roman" w:cs="Times New Roman"/>
          <w:bCs/>
          <w:color w:val="000000"/>
          <w:lang w:eastAsia="da-DK"/>
        </w:rPr>
        <w:t>, stk. 1</w:t>
      </w:r>
      <w:r w:rsidR="006F23E9" w:rsidRPr="00577043">
        <w:rPr>
          <w:rFonts w:eastAsia="Times New Roman" w:cs="Times New Roman"/>
          <w:bCs/>
          <w:color w:val="000000"/>
          <w:lang w:eastAsia="da-DK"/>
        </w:rPr>
        <w:t xml:space="preserve">. Den foreslåede bemyndigelse vil </w:t>
      </w:r>
      <w:r w:rsidR="00FD2DA5" w:rsidRPr="00577043">
        <w:rPr>
          <w:rFonts w:eastAsia="Times New Roman" w:cs="Times New Roman"/>
          <w:bCs/>
          <w:color w:val="000000"/>
          <w:lang w:eastAsia="da-DK"/>
        </w:rPr>
        <w:t>bl.a.</w:t>
      </w:r>
      <w:r w:rsidR="00EF2EF2" w:rsidRPr="00577043">
        <w:rPr>
          <w:rFonts w:eastAsia="Times New Roman" w:cs="Times New Roman"/>
          <w:bCs/>
          <w:color w:val="000000"/>
          <w:lang w:eastAsia="da-DK"/>
        </w:rPr>
        <w:t xml:space="preserve"> </w:t>
      </w:r>
      <w:r w:rsidR="006F23E9" w:rsidRPr="00577043">
        <w:rPr>
          <w:rFonts w:eastAsia="Times New Roman" w:cs="Times New Roman"/>
          <w:bCs/>
          <w:color w:val="000000"/>
          <w:lang w:eastAsia="da-DK"/>
        </w:rPr>
        <w:t>blive benyttet til at fastsætte, at den videnskabsetiske lægemiddelkomité skal</w:t>
      </w:r>
      <w:r w:rsidR="00873EB1" w:rsidRPr="00577043">
        <w:rPr>
          <w:rFonts w:eastAsia="Times New Roman" w:cs="Times New Roman"/>
          <w:bCs/>
          <w:color w:val="000000"/>
          <w:lang w:eastAsia="da-DK"/>
        </w:rPr>
        <w:t xml:space="preserve"> vurdere </w:t>
      </w:r>
      <w:r w:rsidR="00932B87" w:rsidRPr="00577043">
        <w:rPr>
          <w:rFonts w:eastAsia="Times New Roman" w:cs="Times New Roman"/>
          <w:bCs/>
          <w:color w:val="000000"/>
          <w:lang w:eastAsia="da-DK"/>
        </w:rPr>
        <w:t xml:space="preserve">overensstemmelse med forordningens kapitel V </w:t>
      </w:r>
      <w:r w:rsidR="00715060" w:rsidRPr="00577043">
        <w:rPr>
          <w:rFonts w:eastAsia="Times New Roman" w:cs="Times New Roman"/>
          <w:bCs/>
          <w:color w:val="000000"/>
          <w:lang w:eastAsia="da-DK"/>
        </w:rPr>
        <w:t xml:space="preserve">(om beskyttelse af forsøgspersoner) </w:t>
      </w:r>
      <w:r w:rsidR="00932B87" w:rsidRPr="00577043">
        <w:rPr>
          <w:rFonts w:eastAsia="Times New Roman" w:cs="Times New Roman"/>
          <w:bCs/>
          <w:color w:val="000000"/>
          <w:lang w:eastAsia="da-DK"/>
        </w:rPr>
        <w:t xml:space="preserve">med hensyn til den forventede gevinst i terapeutisk henseende og for folkesundheden samt </w:t>
      </w:r>
      <w:r w:rsidR="00873EB1" w:rsidRPr="00577043">
        <w:rPr>
          <w:rFonts w:eastAsia="Times New Roman" w:cs="Times New Roman"/>
          <w:bCs/>
          <w:color w:val="000000"/>
          <w:lang w:eastAsia="da-DK"/>
        </w:rPr>
        <w:t>risici og ulemper for forsøgspersonen, jf. art</w:t>
      </w:r>
      <w:r w:rsidR="004D355A">
        <w:rPr>
          <w:rFonts w:eastAsia="Times New Roman" w:cs="Times New Roman"/>
          <w:bCs/>
          <w:color w:val="000000"/>
          <w:lang w:eastAsia="da-DK"/>
        </w:rPr>
        <w:t>ikel</w:t>
      </w:r>
      <w:r w:rsidR="00932B87" w:rsidRPr="00577043">
        <w:rPr>
          <w:rFonts w:eastAsia="Times New Roman" w:cs="Times New Roman"/>
          <w:bCs/>
          <w:color w:val="000000"/>
          <w:lang w:eastAsia="da-DK"/>
        </w:rPr>
        <w:t xml:space="preserve"> 6, stk. 1, nr. 1, litra b</w:t>
      </w:r>
      <w:r w:rsidR="00873EB1" w:rsidRPr="00577043">
        <w:rPr>
          <w:rFonts w:eastAsia="Times New Roman" w:cs="Times New Roman"/>
          <w:bCs/>
          <w:color w:val="000000"/>
          <w:lang w:eastAsia="da-DK"/>
        </w:rPr>
        <w:t>.</w:t>
      </w:r>
    </w:p>
    <w:p w14:paraId="09E1EEA9" w14:textId="77777777" w:rsidR="00547FAD" w:rsidRPr="00577043" w:rsidRDefault="00547FAD" w:rsidP="006F23E9">
      <w:pPr>
        <w:rPr>
          <w:rFonts w:eastAsia="Times New Roman" w:cs="Times New Roman"/>
          <w:bCs/>
          <w:color w:val="000000"/>
          <w:lang w:eastAsia="da-DK"/>
        </w:rPr>
      </w:pPr>
    </w:p>
    <w:p w14:paraId="3B8D826A" w14:textId="77777777" w:rsidR="006F23E9" w:rsidRPr="00577043" w:rsidRDefault="007842B8" w:rsidP="006F23E9">
      <w:pPr>
        <w:rPr>
          <w:rFonts w:eastAsia="Times New Roman" w:cs="Times New Roman"/>
          <w:bCs/>
          <w:color w:val="000000"/>
          <w:lang w:eastAsia="da-DK"/>
        </w:rPr>
      </w:pPr>
      <w:r w:rsidRPr="00577043">
        <w:rPr>
          <w:rFonts w:eastAsia="Times New Roman" w:cs="Times New Roman"/>
          <w:bCs/>
          <w:color w:val="000000"/>
          <w:lang w:eastAsia="da-DK"/>
        </w:rPr>
        <w:t>V</w:t>
      </w:r>
      <w:r w:rsidR="006F23E9" w:rsidRPr="00577043">
        <w:rPr>
          <w:rFonts w:eastAsia="Times New Roman" w:cs="Times New Roman"/>
          <w:bCs/>
          <w:color w:val="000000"/>
          <w:lang w:eastAsia="da-DK"/>
        </w:rPr>
        <w:t xml:space="preserve">urderingsrapport </w:t>
      </w:r>
      <w:r w:rsidR="00946F91">
        <w:rPr>
          <w:rFonts w:eastAsia="Times New Roman" w:cs="Times New Roman"/>
          <w:bCs/>
          <w:color w:val="000000"/>
          <w:lang w:eastAsia="da-DK"/>
        </w:rPr>
        <w:t xml:space="preserve">del </w:t>
      </w:r>
      <w:r w:rsidR="006F23E9" w:rsidRPr="00577043">
        <w:rPr>
          <w:rFonts w:eastAsia="Times New Roman" w:cs="Times New Roman"/>
          <w:bCs/>
          <w:color w:val="000000"/>
          <w:lang w:eastAsia="da-DK"/>
        </w:rPr>
        <w:t xml:space="preserve">II </w:t>
      </w:r>
      <w:r w:rsidR="006F189C" w:rsidRPr="00577043">
        <w:rPr>
          <w:rFonts w:eastAsia="Times New Roman" w:cs="Times New Roman"/>
          <w:bCs/>
          <w:color w:val="000000"/>
          <w:lang w:eastAsia="da-DK"/>
        </w:rPr>
        <w:t>skal</w:t>
      </w:r>
      <w:r w:rsidR="00641059" w:rsidRPr="00577043">
        <w:rPr>
          <w:rFonts w:eastAsia="Times New Roman" w:cs="Times New Roman"/>
          <w:bCs/>
          <w:color w:val="000000"/>
          <w:lang w:eastAsia="da-DK"/>
        </w:rPr>
        <w:t xml:space="preserve"> </w:t>
      </w:r>
      <w:r w:rsidR="006F23E9" w:rsidRPr="00577043">
        <w:rPr>
          <w:rFonts w:eastAsia="Times New Roman" w:cs="Times New Roman"/>
          <w:bCs/>
          <w:color w:val="000000"/>
          <w:lang w:eastAsia="da-DK"/>
        </w:rPr>
        <w:t>omfatte en vurdering af,</w:t>
      </w:r>
      <w:r w:rsidR="00AF6D4F">
        <w:rPr>
          <w:rFonts w:eastAsia="Times New Roman" w:cs="Times New Roman"/>
          <w:bCs/>
          <w:color w:val="000000"/>
          <w:lang w:eastAsia="da-DK"/>
        </w:rPr>
        <w:t xml:space="preserve"> om forordningens krav til informeret samtykke, rekruttering af forsøgspersoner m</w:t>
      </w:r>
      <w:r w:rsidR="00094421">
        <w:rPr>
          <w:rFonts w:eastAsia="Times New Roman" w:cs="Times New Roman"/>
          <w:bCs/>
          <w:color w:val="000000"/>
          <w:lang w:eastAsia="da-DK"/>
        </w:rPr>
        <w:t>.</w:t>
      </w:r>
      <w:r w:rsidR="00AF6D4F">
        <w:rPr>
          <w:rFonts w:eastAsia="Times New Roman" w:cs="Times New Roman"/>
          <w:bCs/>
          <w:color w:val="000000"/>
          <w:lang w:eastAsia="da-DK"/>
        </w:rPr>
        <w:t>v. er opfyldt, jf. art</w:t>
      </w:r>
      <w:r w:rsidR="004D355A">
        <w:rPr>
          <w:rFonts w:eastAsia="Times New Roman" w:cs="Times New Roman"/>
          <w:bCs/>
          <w:color w:val="000000"/>
          <w:lang w:eastAsia="da-DK"/>
        </w:rPr>
        <w:t>ikel</w:t>
      </w:r>
      <w:r w:rsidR="00AF6D4F">
        <w:rPr>
          <w:rFonts w:eastAsia="Times New Roman" w:cs="Times New Roman"/>
          <w:bCs/>
          <w:color w:val="000000"/>
          <w:lang w:eastAsia="da-DK"/>
        </w:rPr>
        <w:t xml:space="preserve"> 7. Aspekter, som skal være omfattet af del II af vurderingsrapporten, er aspekter, som i dag vurderes af det videnskabsetiske komitésystem, </w:t>
      </w:r>
      <w:r w:rsidRPr="00577043">
        <w:rPr>
          <w:rFonts w:eastAsia="Times New Roman" w:cs="Times New Roman"/>
          <w:bCs/>
          <w:color w:val="000000"/>
          <w:lang w:eastAsia="da-DK"/>
        </w:rPr>
        <w:t xml:space="preserve">og </w:t>
      </w:r>
      <w:r w:rsidR="0056015E">
        <w:rPr>
          <w:rFonts w:eastAsia="Times New Roman" w:cs="Times New Roman"/>
          <w:bCs/>
          <w:color w:val="000000"/>
          <w:lang w:eastAsia="da-DK"/>
        </w:rPr>
        <w:t>det foresl</w:t>
      </w:r>
      <w:r w:rsidR="00AF6D4F">
        <w:rPr>
          <w:rFonts w:eastAsia="Times New Roman" w:cs="Times New Roman"/>
          <w:bCs/>
          <w:color w:val="000000"/>
          <w:lang w:eastAsia="da-DK"/>
        </w:rPr>
        <w:t>ås derfor</w:t>
      </w:r>
      <w:r w:rsidR="00BA5C42">
        <w:rPr>
          <w:rFonts w:eastAsia="Times New Roman" w:cs="Times New Roman"/>
          <w:bCs/>
          <w:color w:val="000000"/>
          <w:lang w:eastAsia="da-DK"/>
        </w:rPr>
        <w:t xml:space="preserve"> med § </w:t>
      </w:r>
      <w:r w:rsidR="00A779B3">
        <w:rPr>
          <w:rFonts w:eastAsia="Times New Roman" w:cs="Times New Roman"/>
          <w:bCs/>
          <w:color w:val="000000"/>
          <w:lang w:eastAsia="da-DK"/>
        </w:rPr>
        <w:t>10</w:t>
      </w:r>
      <w:r w:rsidR="00BA5C42">
        <w:rPr>
          <w:rFonts w:eastAsia="Times New Roman" w:cs="Times New Roman"/>
          <w:bCs/>
          <w:color w:val="000000"/>
          <w:lang w:eastAsia="da-DK"/>
        </w:rPr>
        <w:t xml:space="preserve">, stk. </w:t>
      </w:r>
      <w:r w:rsidR="00CB066C">
        <w:rPr>
          <w:rFonts w:eastAsia="Times New Roman" w:cs="Times New Roman"/>
          <w:bCs/>
          <w:color w:val="000000"/>
          <w:lang w:eastAsia="da-DK"/>
        </w:rPr>
        <w:t>5</w:t>
      </w:r>
      <w:r w:rsidR="0056015E">
        <w:rPr>
          <w:rFonts w:eastAsia="Times New Roman" w:cs="Times New Roman"/>
          <w:bCs/>
          <w:color w:val="000000"/>
          <w:lang w:eastAsia="da-DK"/>
        </w:rPr>
        <w:t xml:space="preserve">, at </w:t>
      </w:r>
      <w:r w:rsidR="00AF6D4F">
        <w:rPr>
          <w:rFonts w:eastAsia="Times New Roman" w:cs="Times New Roman"/>
          <w:bCs/>
          <w:color w:val="000000"/>
          <w:lang w:eastAsia="da-DK"/>
        </w:rPr>
        <w:t>del II af vurderingsrapporten skal</w:t>
      </w:r>
      <w:r w:rsidR="00A779B3">
        <w:rPr>
          <w:rFonts w:eastAsia="Times New Roman" w:cs="Times New Roman"/>
          <w:bCs/>
          <w:color w:val="000000"/>
          <w:lang w:eastAsia="da-DK"/>
        </w:rPr>
        <w:t xml:space="preserve"> </w:t>
      </w:r>
      <w:r w:rsidRPr="00577043">
        <w:rPr>
          <w:rFonts w:eastAsia="Times New Roman" w:cs="Times New Roman"/>
          <w:bCs/>
          <w:color w:val="000000"/>
          <w:lang w:eastAsia="da-DK"/>
        </w:rPr>
        <w:t>udarbejde</w:t>
      </w:r>
      <w:r w:rsidR="0056015E">
        <w:rPr>
          <w:rFonts w:eastAsia="Times New Roman" w:cs="Times New Roman"/>
          <w:bCs/>
          <w:color w:val="000000"/>
          <w:lang w:eastAsia="da-DK"/>
        </w:rPr>
        <w:t>s</w:t>
      </w:r>
      <w:r w:rsidRPr="00577043">
        <w:rPr>
          <w:rFonts w:eastAsia="Times New Roman" w:cs="Times New Roman"/>
          <w:bCs/>
          <w:color w:val="000000"/>
          <w:lang w:eastAsia="da-DK"/>
        </w:rPr>
        <w:t xml:space="preserve"> af en </w:t>
      </w:r>
      <w:r w:rsidR="006F23E9" w:rsidRPr="00577043">
        <w:rPr>
          <w:rFonts w:eastAsia="Times New Roman" w:cs="Times New Roman"/>
          <w:bCs/>
          <w:color w:val="000000"/>
          <w:lang w:eastAsia="da-DK"/>
        </w:rPr>
        <w:t>videnskabsetiske lægemiddelkomit</w:t>
      </w:r>
      <w:r w:rsidRPr="00577043">
        <w:rPr>
          <w:rFonts w:eastAsia="Times New Roman" w:cs="Times New Roman"/>
          <w:bCs/>
          <w:color w:val="000000"/>
          <w:lang w:eastAsia="da-DK"/>
        </w:rPr>
        <w:t>é</w:t>
      </w:r>
      <w:r w:rsidR="00AF6D4F">
        <w:rPr>
          <w:rFonts w:eastAsia="Times New Roman" w:cs="Times New Roman"/>
          <w:bCs/>
          <w:color w:val="000000"/>
          <w:lang w:eastAsia="da-DK"/>
        </w:rPr>
        <w:t>, jf. afsnit 2.2.2.5</w:t>
      </w:r>
      <w:r w:rsidR="006F23E9" w:rsidRPr="00577043">
        <w:rPr>
          <w:rFonts w:eastAsia="Times New Roman" w:cs="Times New Roman"/>
          <w:bCs/>
          <w:color w:val="000000"/>
          <w:lang w:eastAsia="da-DK"/>
        </w:rPr>
        <w:t xml:space="preserve">. </w:t>
      </w:r>
    </w:p>
    <w:p w14:paraId="3ED0FF1D" w14:textId="77777777" w:rsidR="00DC7242" w:rsidRDefault="00DC7242" w:rsidP="005B45CB">
      <w:pPr>
        <w:rPr>
          <w:rFonts w:eastAsia="Times New Roman" w:cs="Times New Roman"/>
          <w:bCs/>
          <w:color w:val="000000"/>
          <w:lang w:eastAsia="da-DK"/>
        </w:rPr>
      </w:pPr>
    </w:p>
    <w:p w14:paraId="72D7D6DF" w14:textId="77777777" w:rsidR="005D1ADC" w:rsidRPr="00577043" w:rsidRDefault="00652CB4" w:rsidP="00652CB4">
      <w:pPr>
        <w:pStyle w:val="Overskrift5"/>
        <w:rPr>
          <w:rFonts w:eastAsia="Times New Roman"/>
          <w:lang w:eastAsia="da-DK"/>
        </w:rPr>
      </w:pPr>
      <w:r w:rsidRPr="00577043">
        <w:rPr>
          <w:rFonts w:eastAsia="Times New Roman"/>
          <w:lang w:eastAsia="da-DK"/>
        </w:rPr>
        <w:t>2.</w:t>
      </w:r>
      <w:r w:rsidR="001511E7" w:rsidRPr="00577043">
        <w:rPr>
          <w:rFonts w:eastAsia="Times New Roman"/>
          <w:lang w:eastAsia="da-DK"/>
        </w:rPr>
        <w:t>2</w:t>
      </w:r>
      <w:r w:rsidRPr="00577043">
        <w:rPr>
          <w:rFonts w:eastAsia="Times New Roman"/>
          <w:lang w:eastAsia="da-DK"/>
        </w:rPr>
        <w:t>.</w:t>
      </w:r>
      <w:r w:rsidR="001511E7" w:rsidRPr="00577043">
        <w:rPr>
          <w:rFonts w:eastAsia="Times New Roman"/>
          <w:lang w:eastAsia="da-DK"/>
        </w:rPr>
        <w:t>2</w:t>
      </w:r>
      <w:r w:rsidRPr="00577043">
        <w:rPr>
          <w:rFonts w:eastAsia="Times New Roman"/>
          <w:lang w:eastAsia="da-DK"/>
        </w:rPr>
        <w:t>.</w:t>
      </w:r>
      <w:r w:rsidR="005F14CA" w:rsidRPr="00577043">
        <w:rPr>
          <w:rFonts w:eastAsia="Times New Roman"/>
          <w:lang w:eastAsia="da-DK"/>
        </w:rPr>
        <w:t>2.</w:t>
      </w:r>
      <w:r w:rsidRPr="00577043">
        <w:rPr>
          <w:rFonts w:eastAsia="Times New Roman"/>
          <w:lang w:eastAsia="da-DK"/>
        </w:rPr>
        <w:t xml:space="preserve"> </w:t>
      </w:r>
      <w:r w:rsidR="005D1ADC" w:rsidRPr="00577043">
        <w:rPr>
          <w:rFonts w:eastAsia="Times New Roman"/>
          <w:lang w:eastAsia="da-DK"/>
        </w:rPr>
        <w:t>Proceduren generelt ved behandling af en ansøgning</w:t>
      </w:r>
    </w:p>
    <w:p w14:paraId="5D5B12F5" w14:textId="77777777" w:rsidR="00814627" w:rsidRPr="00577043" w:rsidRDefault="00EF2EF2" w:rsidP="000F7FD2">
      <w:pPr>
        <w:keepNext/>
        <w:rPr>
          <w:rFonts w:eastAsia="Times New Roman" w:cs="Times New Roman"/>
          <w:bCs/>
          <w:color w:val="000000"/>
          <w:lang w:eastAsia="da-DK"/>
        </w:rPr>
      </w:pPr>
      <w:r w:rsidRPr="00577043">
        <w:rPr>
          <w:rFonts w:eastAsia="Times New Roman" w:cs="Times New Roman"/>
          <w:bCs/>
          <w:color w:val="000000"/>
          <w:lang w:eastAsia="da-DK"/>
        </w:rPr>
        <w:t xml:space="preserve">Proceduren for behandling af ansøgninger om godkendelse af gennemførelse af </w:t>
      </w:r>
      <w:r w:rsidR="00547FAD" w:rsidRPr="00577043">
        <w:rPr>
          <w:rFonts w:eastAsia="Times New Roman" w:cs="Times New Roman"/>
          <w:bCs/>
          <w:color w:val="000000"/>
          <w:lang w:eastAsia="da-DK"/>
        </w:rPr>
        <w:t xml:space="preserve">et klinisk forsøg </w:t>
      </w:r>
      <w:r w:rsidR="00141634" w:rsidRPr="00577043">
        <w:rPr>
          <w:rFonts w:eastAsia="Times New Roman" w:cs="Times New Roman"/>
          <w:bCs/>
          <w:color w:val="000000"/>
          <w:lang w:eastAsia="da-DK"/>
        </w:rPr>
        <w:t xml:space="preserve">og for </w:t>
      </w:r>
      <w:r w:rsidR="00E22BCF" w:rsidRPr="00577043">
        <w:rPr>
          <w:rFonts w:eastAsia="Times New Roman" w:cs="Times New Roman"/>
          <w:bCs/>
          <w:color w:val="000000"/>
          <w:lang w:eastAsia="da-DK"/>
        </w:rPr>
        <w:t xml:space="preserve">væsentlige ændringer af et klinisk forsøg </w:t>
      </w:r>
      <w:r w:rsidR="00547FAD" w:rsidRPr="00577043">
        <w:rPr>
          <w:rFonts w:eastAsia="Times New Roman" w:cs="Times New Roman"/>
          <w:bCs/>
          <w:color w:val="000000"/>
          <w:lang w:eastAsia="da-DK"/>
        </w:rPr>
        <w:t>er fastsat i forordningens kapitel II</w:t>
      </w:r>
      <w:r w:rsidR="00E22BCF" w:rsidRPr="00577043">
        <w:rPr>
          <w:rFonts w:eastAsia="Times New Roman" w:cs="Times New Roman"/>
          <w:bCs/>
          <w:color w:val="000000"/>
          <w:lang w:eastAsia="da-DK"/>
        </w:rPr>
        <w:t xml:space="preserve"> og III</w:t>
      </w:r>
      <w:r w:rsidR="00547FAD" w:rsidRPr="00577043">
        <w:rPr>
          <w:rFonts w:eastAsia="Times New Roman" w:cs="Times New Roman"/>
          <w:bCs/>
          <w:color w:val="000000"/>
          <w:lang w:eastAsia="da-DK"/>
        </w:rPr>
        <w:t xml:space="preserve">. </w:t>
      </w:r>
    </w:p>
    <w:p w14:paraId="09F33B37" w14:textId="77777777" w:rsidR="00646B38" w:rsidRPr="00577043" w:rsidRDefault="00646B38" w:rsidP="000F7FD2">
      <w:pPr>
        <w:keepNext/>
        <w:rPr>
          <w:rFonts w:eastAsia="Times New Roman" w:cs="Times New Roman"/>
          <w:bCs/>
          <w:color w:val="000000"/>
          <w:lang w:eastAsia="da-DK"/>
        </w:rPr>
      </w:pPr>
    </w:p>
    <w:p w14:paraId="53336A45" w14:textId="77777777" w:rsidR="00DC73A5" w:rsidRDefault="00214725" w:rsidP="00D34C42">
      <w:pPr>
        <w:rPr>
          <w:rFonts w:eastAsia="Times New Roman" w:cs="Times New Roman"/>
          <w:bCs/>
          <w:color w:val="000000"/>
          <w:lang w:eastAsia="da-DK"/>
        </w:rPr>
      </w:pPr>
      <w:r>
        <w:rPr>
          <w:rFonts w:eastAsia="Times New Roman" w:cs="Times New Roman"/>
          <w:bCs/>
          <w:color w:val="000000"/>
          <w:lang w:eastAsia="da-DK"/>
        </w:rPr>
        <w:t>V</w:t>
      </w:r>
      <w:r w:rsidR="00646B38">
        <w:rPr>
          <w:rFonts w:eastAsia="Times New Roman" w:cs="Times New Roman"/>
          <w:bCs/>
          <w:color w:val="000000"/>
          <w:lang w:eastAsia="da-DK"/>
        </w:rPr>
        <w:t xml:space="preserve">ed vurderingen af en ansøgning </w:t>
      </w:r>
      <w:r>
        <w:rPr>
          <w:rFonts w:eastAsia="Times New Roman" w:cs="Times New Roman"/>
          <w:bCs/>
          <w:color w:val="000000"/>
          <w:lang w:eastAsia="da-DK"/>
        </w:rPr>
        <w:t xml:space="preserve">skal der </w:t>
      </w:r>
      <w:r w:rsidR="00E62B9F">
        <w:rPr>
          <w:rFonts w:eastAsia="Times New Roman" w:cs="Times New Roman"/>
          <w:bCs/>
          <w:color w:val="000000"/>
          <w:lang w:eastAsia="da-DK"/>
        </w:rPr>
        <w:t xml:space="preserve">som nævnt i afsnit 2.2.2.1. </w:t>
      </w:r>
      <w:r w:rsidR="00646B38">
        <w:rPr>
          <w:rFonts w:eastAsia="Times New Roman" w:cs="Times New Roman"/>
          <w:bCs/>
          <w:color w:val="000000"/>
          <w:lang w:eastAsia="da-DK"/>
        </w:rPr>
        <w:t xml:space="preserve">udarbejdes en vurderingsrapport i to dele. </w:t>
      </w:r>
    </w:p>
    <w:p w14:paraId="7680C93B" w14:textId="77777777" w:rsidR="00DC73A5" w:rsidRDefault="00DC73A5" w:rsidP="00D34C42">
      <w:pPr>
        <w:rPr>
          <w:rFonts w:eastAsia="Times New Roman" w:cs="Times New Roman"/>
          <w:bCs/>
          <w:color w:val="000000"/>
          <w:lang w:eastAsia="da-DK"/>
        </w:rPr>
      </w:pPr>
    </w:p>
    <w:p w14:paraId="45B4D96A" w14:textId="77777777" w:rsidR="00646B38" w:rsidRDefault="00214725" w:rsidP="00D34C42">
      <w:pPr>
        <w:rPr>
          <w:rFonts w:eastAsia="Times New Roman" w:cs="Times New Roman"/>
          <w:bCs/>
          <w:color w:val="000000"/>
          <w:lang w:eastAsia="da-DK"/>
        </w:rPr>
      </w:pPr>
      <w:r w:rsidRPr="00577043">
        <w:rPr>
          <w:rFonts w:eastAsia="Times New Roman" w:cs="Times New Roman"/>
          <w:bCs/>
          <w:color w:val="000000"/>
          <w:lang w:eastAsia="da-DK"/>
        </w:rPr>
        <w:t>Vurderingens del I omfatter såvel sundhedsfaglige som videnskabsetiske aspekter</w:t>
      </w:r>
      <w:r>
        <w:rPr>
          <w:rFonts w:eastAsia="Times New Roman" w:cs="Times New Roman"/>
          <w:bCs/>
          <w:color w:val="000000"/>
          <w:lang w:eastAsia="da-DK"/>
        </w:rPr>
        <w:t xml:space="preserve">. </w:t>
      </w:r>
      <w:r w:rsidR="00646B38">
        <w:rPr>
          <w:rFonts w:eastAsia="Times New Roman" w:cs="Times New Roman"/>
          <w:bCs/>
          <w:color w:val="000000"/>
          <w:lang w:eastAsia="da-DK"/>
        </w:rPr>
        <w:t xml:space="preserve">Udarbejdelsen af vurderingsrapportens del I </w:t>
      </w:r>
      <w:r w:rsidR="00814627" w:rsidRPr="00577043">
        <w:rPr>
          <w:rFonts w:eastAsia="Times New Roman" w:cs="Times New Roman"/>
          <w:bCs/>
          <w:color w:val="000000"/>
          <w:lang w:eastAsia="da-DK"/>
        </w:rPr>
        <w:t>koordineres</w:t>
      </w:r>
      <w:r w:rsidR="00646B38">
        <w:rPr>
          <w:rFonts w:eastAsia="Times New Roman" w:cs="Times New Roman"/>
          <w:bCs/>
          <w:color w:val="000000"/>
          <w:lang w:eastAsia="da-DK"/>
        </w:rPr>
        <w:t xml:space="preserve"> </w:t>
      </w:r>
      <w:r w:rsidR="00814627" w:rsidRPr="00577043">
        <w:rPr>
          <w:rFonts w:eastAsia="Times New Roman" w:cs="Times New Roman"/>
          <w:bCs/>
          <w:color w:val="000000"/>
          <w:lang w:eastAsia="da-DK"/>
        </w:rPr>
        <w:t>af en af de berørte medlemsstater, som vælges som den rapporterende medlemsstat</w:t>
      </w:r>
      <w:r w:rsidR="00DC73A5">
        <w:rPr>
          <w:rFonts w:eastAsia="Times New Roman" w:cs="Times New Roman"/>
          <w:bCs/>
          <w:color w:val="000000"/>
          <w:lang w:eastAsia="da-DK"/>
        </w:rPr>
        <w:t>, jf. afsnit 2.2.2.3</w:t>
      </w:r>
      <w:r w:rsidR="00814627" w:rsidRPr="00577043">
        <w:rPr>
          <w:rFonts w:eastAsia="Times New Roman" w:cs="Times New Roman"/>
          <w:bCs/>
          <w:color w:val="000000"/>
          <w:lang w:eastAsia="da-DK"/>
        </w:rPr>
        <w:t>.</w:t>
      </w:r>
      <w:r w:rsidR="00D34C42" w:rsidRPr="00577043">
        <w:rPr>
          <w:rFonts w:eastAsia="Times New Roman" w:cs="Times New Roman"/>
          <w:bCs/>
          <w:color w:val="000000"/>
          <w:lang w:eastAsia="da-DK"/>
        </w:rPr>
        <w:t xml:space="preserve"> </w:t>
      </w:r>
    </w:p>
    <w:p w14:paraId="46059073" w14:textId="77777777" w:rsidR="00214725" w:rsidRDefault="00214725" w:rsidP="00D34C42">
      <w:pPr>
        <w:rPr>
          <w:rFonts w:eastAsia="Times New Roman" w:cs="Times New Roman"/>
          <w:bCs/>
          <w:color w:val="000000"/>
          <w:lang w:eastAsia="da-DK"/>
        </w:rPr>
      </w:pPr>
    </w:p>
    <w:p w14:paraId="5E83568E" w14:textId="77777777" w:rsidR="001E2DF0" w:rsidRPr="00577043" w:rsidRDefault="00646B38" w:rsidP="00D34C42">
      <w:pPr>
        <w:rPr>
          <w:rFonts w:eastAsia="Times New Roman" w:cs="Times New Roman"/>
          <w:bCs/>
          <w:color w:val="000000"/>
          <w:lang w:eastAsia="da-DK"/>
        </w:rPr>
      </w:pPr>
      <w:r>
        <w:rPr>
          <w:rFonts w:eastAsia="Times New Roman" w:cs="Times New Roman"/>
          <w:bCs/>
          <w:color w:val="000000"/>
          <w:lang w:eastAsia="da-DK"/>
        </w:rPr>
        <w:t>V</w:t>
      </w:r>
      <w:r w:rsidR="00D34C42" w:rsidRPr="00577043">
        <w:rPr>
          <w:rFonts w:eastAsia="Times New Roman" w:cs="Times New Roman"/>
          <w:bCs/>
          <w:color w:val="000000"/>
          <w:lang w:eastAsia="da-DK"/>
        </w:rPr>
        <w:t>urderingens del II</w:t>
      </w:r>
      <w:r>
        <w:rPr>
          <w:rFonts w:eastAsia="Times New Roman" w:cs="Times New Roman"/>
          <w:bCs/>
          <w:color w:val="000000"/>
          <w:lang w:eastAsia="da-DK"/>
        </w:rPr>
        <w:t xml:space="preserve"> </w:t>
      </w:r>
      <w:r w:rsidR="00D34C42" w:rsidRPr="00577043">
        <w:rPr>
          <w:rFonts w:eastAsia="Times New Roman" w:cs="Times New Roman"/>
          <w:bCs/>
          <w:color w:val="000000"/>
          <w:lang w:eastAsia="da-DK"/>
        </w:rPr>
        <w:t>omfatter videnskabsetiske aspekter</w:t>
      </w:r>
      <w:r>
        <w:rPr>
          <w:rFonts w:eastAsia="Times New Roman" w:cs="Times New Roman"/>
          <w:bCs/>
          <w:color w:val="000000"/>
          <w:lang w:eastAsia="da-DK"/>
        </w:rPr>
        <w:t xml:space="preserve">, og udarbejdes af hver enkelt berørt medlemsstat. </w:t>
      </w:r>
    </w:p>
    <w:p w14:paraId="6F9C6A10" w14:textId="77777777" w:rsidR="001E2DF0" w:rsidRDefault="001E2DF0" w:rsidP="00D34C42">
      <w:pPr>
        <w:rPr>
          <w:rFonts w:eastAsia="Times New Roman" w:cs="Times New Roman"/>
          <w:bCs/>
          <w:color w:val="000000"/>
          <w:lang w:eastAsia="da-DK"/>
        </w:rPr>
      </w:pPr>
    </w:p>
    <w:p w14:paraId="5E9DD7E7" w14:textId="77777777" w:rsidR="00214725" w:rsidRDefault="00214725" w:rsidP="00D34C42">
      <w:pPr>
        <w:rPr>
          <w:rFonts w:eastAsia="Times New Roman" w:cs="Times New Roman"/>
          <w:bCs/>
          <w:color w:val="000000"/>
          <w:lang w:eastAsia="da-DK"/>
        </w:rPr>
      </w:pPr>
      <w:r>
        <w:rPr>
          <w:rFonts w:eastAsia="Times New Roman" w:cs="Times New Roman"/>
          <w:bCs/>
          <w:color w:val="000000"/>
          <w:lang w:eastAsia="da-DK"/>
        </w:rPr>
        <w:lastRenderedPageBreak/>
        <w:t xml:space="preserve">Hver enkelt berørt medlemsstat træffer </w:t>
      </w:r>
      <w:r w:rsidR="00195528">
        <w:rPr>
          <w:rFonts w:eastAsia="Times New Roman" w:cs="Times New Roman"/>
          <w:bCs/>
          <w:color w:val="000000"/>
          <w:lang w:eastAsia="da-DK"/>
        </w:rPr>
        <w:t xml:space="preserve">på baggrund af vurderingsrapportens del I og II </w:t>
      </w:r>
      <w:r>
        <w:rPr>
          <w:rFonts w:eastAsia="Times New Roman" w:cs="Times New Roman"/>
          <w:bCs/>
          <w:color w:val="000000"/>
          <w:lang w:eastAsia="da-DK"/>
        </w:rPr>
        <w:t>afgørelse om</w:t>
      </w:r>
      <w:r w:rsidR="00A84D57">
        <w:rPr>
          <w:rFonts w:eastAsia="Times New Roman" w:cs="Times New Roman"/>
          <w:bCs/>
          <w:color w:val="000000"/>
          <w:lang w:eastAsia="da-DK"/>
        </w:rPr>
        <w:t xml:space="preserve">, </w:t>
      </w:r>
      <w:r>
        <w:rPr>
          <w:rFonts w:eastAsia="Times New Roman" w:cs="Times New Roman"/>
          <w:bCs/>
          <w:color w:val="000000"/>
          <w:lang w:eastAsia="da-DK"/>
        </w:rPr>
        <w:t xml:space="preserve">et forsøg </w:t>
      </w:r>
      <w:r w:rsidR="00A84D57">
        <w:rPr>
          <w:rFonts w:eastAsia="Times New Roman" w:cs="Times New Roman"/>
          <w:bCs/>
          <w:color w:val="000000"/>
          <w:lang w:eastAsia="da-DK"/>
        </w:rPr>
        <w:t xml:space="preserve">kan godkendes og dermed gennemføres </w:t>
      </w:r>
      <w:r>
        <w:rPr>
          <w:rFonts w:eastAsia="Times New Roman" w:cs="Times New Roman"/>
          <w:bCs/>
          <w:color w:val="000000"/>
          <w:lang w:eastAsia="da-DK"/>
        </w:rPr>
        <w:t>i den pågældende medlemsstat</w:t>
      </w:r>
      <w:r w:rsidR="00195528">
        <w:rPr>
          <w:rFonts w:eastAsia="Times New Roman" w:cs="Times New Roman"/>
          <w:bCs/>
          <w:color w:val="000000"/>
          <w:lang w:eastAsia="da-DK"/>
        </w:rPr>
        <w:t>, jf. afsnit 2.2.2.7</w:t>
      </w:r>
      <w:r>
        <w:rPr>
          <w:rFonts w:eastAsia="Times New Roman" w:cs="Times New Roman"/>
          <w:bCs/>
          <w:color w:val="000000"/>
          <w:lang w:eastAsia="da-DK"/>
        </w:rPr>
        <w:t xml:space="preserve">. </w:t>
      </w:r>
    </w:p>
    <w:p w14:paraId="6870AEEE" w14:textId="77777777" w:rsidR="00214725" w:rsidRPr="00577043" w:rsidRDefault="00214725" w:rsidP="00D34C42">
      <w:pPr>
        <w:rPr>
          <w:rFonts w:eastAsia="Times New Roman" w:cs="Times New Roman"/>
          <w:bCs/>
          <w:color w:val="000000"/>
          <w:lang w:eastAsia="da-DK"/>
        </w:rPr>
      </w:pPr>
    </w:p>
    <w:p w14:paraId="45F3BD86" w14:textId="77777777" w:rsidR="000F3883" w:rsidRPr="00577043" w:rsidRDefault="003933D8" w:rsidP="000F3883">
      <w:pPr>
        <w:rPr>
          <w:rFonts w:eastAsia="Times New Roman" w:cs="Times New Roman"/>
          <w:bCs/>
          <w:color w:val="000000"/>
          <w:lang w:eastAsia="da-DK"/>
        </w:rPr>
      </w:pPr>
      <w:r w:rsidRPr="00577043">
        <w:rPr>
          <w:rFonts w:eastAsia="Times New Roman" w:cs="Times New Roman"/>
          <w:bCs/>
          <w:color w:val="000000"/>
          <w:lang w:eastAsia="da-DK"/>
        </w:rPr>
        <w:t>Sponsor kan anmode om, at ansøgningen om godkendelse af et klinisk forsøg, vurderingen heraf og konklusionen herpå kun skal vedrøre de aspekter, der er omfattet af del I af vurderingsrapporten, jf</w:t>
      </w:r>
      <w:r w:rsidR="00214725">
        <w:rPr>
          <w:rFonts w:eastAsia="Times New Roman" w:cs="Times New Roman"/>
          <w:bCs/>
          <w:color w:val="000000"/>
          <w:lang w:eastAsia="da-DK"/>
        </w:rPr>
        <w:t>.</w:t>
      </w:r>
      <w:r w:rsidRPr="00577043">
        <w:rPr>
          <w:rFonts w:eastAsia="Times New Roman" w:cs="Times New Roman"/>
          <w:bCs/>
          <w:color w:val="000000"/>
          <w:lang w:eastAsia="da-DK"/>
        </w:rPr>
        <w:t xml:space="preserve"> forordningens art</w:t>
      </w:r>
      <w:r w:rsidR="004D355A">
        <w:rPr>
          <w:rFonts w:eastAsia="Times New Roman" w:cs="Times New Roman"/>
          <w:bCs/>
          <w:color w:val="000000"/>
          <w:lang w:eastAsia="da-DK"/>
        </w:rPr>
        <w:t>ikel</w:t>
      </w:r>
      <w:r w:rsidRPr="00577043">
        <w:rPr>
          <w:rFonts w:eastAsia="Times New Roman" w:cs="Times New Roman"/>
          <w:bCs/>
          <w:color w:val="000000"/>
          <w:lang w:eastAsia="da-DK"/>
        </w:rPr>
        <w:t xml:space="preserve"> 11.</w:t>
      </w:r>
    </w:p>
    <w:p w14:paraId="32BA8816" w14:textId="77777777" w:rsidR="002C0428" w:rsidRPr="00577043" w:rsidRDefault="002C0428" w:rsidP="00D34C42">
      <w:pPr>
        <w:rPr>
          <w:rFonts w:eastAsia="Times New Roman" w:cs="Times New Roman"/>
          <w:bCs/>
          <w:color w:val="000000"/>
          <w:lang w:eastAsia="da-DK"/>
        </w:rPr>
      </w:pPr>
    </w:p>
    <w:p w14:paraId="390375A1" w14:textId="77777777" w:rsidR="000F7FD2" w:rsidRPr="00577043" w:rsidRDefault="007441FA" w:rsidP="000F7FD2">
      <w:pPr>
        <w:keepNext/>
        <w:rPr>
          <w:rFonts w:eastAsia="Times New Roman" w:cs="Times New Roman"/>
          <w:bCs/>
          <w:color w:val="000000"/>
          <w:lang w:eastAsia="da-DK"/>
        </w:rPr>
      </w:pPr>
      <w:r w:rsidRPr="00577043">
        <w:rPr>
          <w:rFonts w:eastAsia="Times New Roman" w:cs="Times New Roman"/>
          <w:bCs/>
          <w:color w:val="000000"/>
          <w:lang w:eastAsia="da-DK"/>
        </w:rPr>
        <w:t xml:space="preserve">Proceduren i forbindelse med en ansøgning om godkendelse af et klinisk forsøg er beskrevet nærmere i afsnit 2.1.2.3.-2.1.2.7. </w:t>
      </w:r>
      <w:r w:rsidR="005F5517" w:rsidRPr="00577043">
        <w:rPr>
          <w:rFonts w:eastAsia="Times New Roman" w:cs="Times New Roman"/>
          <w:bCs/>
          <w:color w:val="000000"/>
          <w:lang w:eastAsia="da-DK"/>
        </w:rPr>
        <w:t>Overordnet er proceduren i</w:t>
      </w:r>
      <w:r w:rsidR="000F7FD2" w:rsidRPr="00577043">
        <w:rPr>
          <w:rFonts w:eastAsia="Times New Roman" w:cs="Times New Roman"/>
          <w:bCs/>
          <w:color w:val="000000"/>
          <w:lang w:eastAsia="da-DK"/>
        </w:rPr>
        <w:t xml:space="preserve"> forbindelse med en ansøgning om godkendelse af et klinisk forsøg</w:t>
      </w:r>
      <w:r w:rsidR="00285E0A" w:rsidRPr="00577043">
        <w:rPr>
          <w:rFonts w:eastAsia="Times New Roman" w:cs="Times New Roman"/>
          <w:bCs/>
          <w:color w:val="000000"/>
          <w:lang w:eastAsia="da-DK"/>
        </w:rPr>
        <w:t xml:space="preserve"> følgende</w:t>
      </w:r>
      <w:r w:rsidR="000F7FD2" w:rsidRPr="00577043">
        <w:rPr>
          <w:rFonts w:eastAsia="Times New Roman" w:cs="Times New Roman"/>
          <w:bCs/>
          <w:color w:val="000000"/>
          <w:lang w:eastAsia="da-DK"/>
        </w:rPr>
        <w:t>:</w:t>
      </w:r>
    </w:p>
    <w:p w14:paraId="54C47FD2" w14:textId="77777777" w:rsidR="007B379B" w:rsidRPr="00577043" w:rsidRDefault="007B379B" w:rsidP="007B379B">
      <w:pPr>
        <w:pStyle w:val="Listeafsnit"/>
        <w:ind w:left="1080"/>
        <w:rPr>
          <w:rFonts w:eastAsia="Times New Roman" w:cs="Times New Roman"/>
          <w:bCs/>
          <w:color w:val="000000"/>
          <w:lang w:eastAsia="da-DK"/>
        </w:rPr>
      </w:pPr>
    </w:p>
    <w:p w14:paraId="11688F6E" w14:textId="77777777" w:rsidR="00195528" w:rsidRPr="00893C58" w:rsidRDefault="00195528" w:rsidP="00195528">
      <w:pPr>
        <w:rPr>
          <w:rFonts w:eastAsia="Times New Roman" w:cs="Times New Roman"/>
          <w:bCs/>
          <w:color w:val="000000"/>
          <w:u w:val="single"/>
          <w:lang w:eastAsia="da-DK"/>
        </w:rPr>
      </w:pPr>
      <w:r w:rsidRPr="00893C58">
        <w:rPr>
          <w:rFonts w:eastAsia="Times New Roman" w:cs="Times New Roman"/>
          <w:bCs/>
          <w:color w:val="000000"/>
          <w:u w:val="single"/>
          <w:lang w:eastAsia="da-DK"/>
        </w:rPr>
        <w:t>Valg af rapporterende medlemsstat</w:t>
      </w:r>
      <w:r w:rsidR="002322A0">
        <w:rPr>
          <w:rFonts w:eastAsia="Times New Roman" w:cs="Times New Roman"/>
          <w:bCs/>
          <w:color w:val="000000"/>
          <w:u w:val="single"/>
          <w:lang w:eastAsia="da-DK"/>
        </w:rPr>
        <w:t xml:space="preserve"> (se afsnit 2.2.2.3. )</w:t>
      </w:r>
      <w:r w:rsidRPr="00893C58">
        <w:rPr>
          <w:rFonts w:eastAsia="Times New Roman" w:cs="Times New Roman"/>
          <w:bCs/>
          <w:color w:val="000000"/>
          <w:u w:val="single"/>
          <w:lang w:eastAsia="da-DK"/>
        </w:rPr>
        <w:t>:</w:t>
      </w:r>
    </w:p>
    <w:p w14:paraId="73533744" w14:textId="77777777" w:rsidR="002C0428" w:rsidRPr="00577043" w:rsidRDefault="002C0428" w:rsidP="007B379B">
      <w:pPr>
        <w:pStyle w:val="Listeafsnit"/>
        <w:numPr>
          <w:ilvl w:val="0"/>
          <w:numId w:val="26"/>
        </w:numPr>
        <w:rPr>
          <w:rFonts w:eastAsia="Times New Roman" w:cs="Times New Roman"/>
          <w:bCs/>
          <w:color w:val="000000"/>
          <w:lang w:eastAsia="da-DK"/>
        </w:rPr>
      </w:pPr>
      <w:r w:rsidRPr="00577043">
        <w:rPr>
          <w:rFonts w:eastAsia="Times New Roman" w:cs="Times New Roman"/>
          <w:bCs/>
          <w:color w:val="000000"/>
          <w:lang w:eastAsia="da-DK"/>
        </w:rPr>
        <w:t>Den</w:t>
      </w:r>
      <w:r w:rsidR="0073766F">
        <w:rPr>
          <w:rFonts w:eastAsia="Times New Roman" w:cs="Times New Roman"/>
          <w:bCs/>
          <w:color w:val="000000"/>
          <w:lang w:eastAsia="da-DK"/>
        </w:rPr>
        <w:t xml:space="preserve"> rapporterende medlemsstat </w:t>
      </w:r>
      <w:r w:rsidRPr="00577043">
        <w:rPr>
          <w:rFonts w:eastAsia="Times New Roman" w:cs="Times New Roman"/>
          <w:bCs/>
          <w:color w:val="000000"/>
          <w:lang w:eastAsia="da-DK"/>
        </w:rPr>
        <w:t>udvælges.</w:t>
      </w:r>
    </w:p>
    <w:p w14:paraId="5A7C1068" w14:textId="77777777" w:rsidR="002C0428" w:rsidRDefault="002C0428" w:rsidP="00195528">
      <w:pPr>
        <w:rPr>
          <w:rFonts w:eastAsia="Times New Roman" w:cs="Times New Roman"/>
          <w:bCs/>
          <w:color w:val="000000"/>
          <w:lang w:eastAsia="da-DK"/>
        </w:rPr>
      </w:pPr>
    </w:p>
    <w:p w14:paraId="648E446A" w14:textId="77777777" w:rsidR="00195528" w:rsidRPr="00893C58" w:rsidRDefault="000A1A0A" w:rsidP="00195528">
      <w:pPr>
        <w:rPr>
          <w:rFonts w:eastAsia="Times New Roman" w:cs="Times New Roman"/>
          <w:bCs/>
          <w:color w:val="000000"/>
          <w:u w:val="single"/>
          <w:lang w:eastAsia="da-DK"/>
        </w:rPr>
      </w:pPr>
      <w:r>
        <w:rPr>
          <w:rFonts w:eastAsia="Times New Roman" w:cs="Times New Roman"/>
          <w:bCs/>
          <w:color w:val="000000"/>
          <w:u w:val="single"/>
          <w:lang w:eastAsia="da-DK"/>
        </w:rPr>
        <w:t>Validering af en ansøgning</w:t>
      </w:r>
      <w:r w:rsidR="00622245">
        <w:rPr>
          <w:rFonts w:eastAsia="Times New Roman" w:cs="Times New Roman"/>
          <w:bCs/>
          <w:color w:val="000000"/>
          <w:lang w:eastAsia="da-DK"/>
        </w:rPr>
        <w:t xml:space="preserve"> (</w:t>
      </w:r>
      <w:r w:rsidR="00622245">
        <w:rPr>
          <w:rFonts w:eastAsia="Times New Roman" w:cs="Times New Roman"/>
          <w:bCs/>
          <w:color w:val="000000"/>
          <w:u w:val="single"/>
          <w:lang w:eastAsia="da-DK"/>
        </w:rPr>
        <w:t xml:space="preserve">vurdering af om </w:t>
      </w:r>
      <w:r w:rsidR="00622245" w:rsidRPr="00893C58">
        <w:rPr>
          <w:rFonts w:eastAsia="Times New Roman" w:cs="Times New Roman"/>
          <w:bCs/>
          <w:color w:val="000000"/>
          <w:u w:val="single"/>
          <w:lang w:eastAsia="da-DK"/>
        </w:rPr>
        <w:t>ansøgningen er omfattet af forordningen og fyldestgørende</w:t>
      </w:r>
      <w:r w:rsidR="00622245">
        <w:rPr>
          <w:rFonts w:eastAsia="Times New Roman" w:cs="Times New Roman"/>
          <w:bCs/>
          <w:color w:val="000000"/>
          <w:u w:val="single"/>
          <w:lang w:eastAsia="da-DK"/>
        </w:rPr>
        <w:t>)</w:t>
      </w:r>
      <w:r w:rsidR="002322A0">
        <w:rPr>
          <w:rFonts w:eastAsia="Times New Roman" w:cs="Times New Roman"/>
          <w:bCs/>
          <w:color w:val="000000"/>
          <w:u w:val="single"/>
          <w:lang w:eastAsia="da-DK"/>
        </w:rPr>
        <w:t xml:space="preserve"> (se afsnit 2.2.2.3.)</w:t>
      </w:r>
    </w:p>
    <w:p w14:paraId="40E38028" w14:textId="77777777" w:rsidR="000F7FD2" w:rsidRPr="00577043" w:rsidRDefault="00A57430" w:rsidP="007B379B">
      <w:pPr>
        <w:pStyle w:val="Listeafsnit"/>
        <w:numPr>
          <w:ilvl w:val="0"/>
          <w:numId w:val="26"/>
        </w:numPr>
        <w:rPr>
          <w:rFonts w:eastAsia="Times New Roman" w:cs="Times New Roman"/>
          <w:bCs/>
          <w:color w:val="000000"/>
          <w:lang w:eastAsia="da-DK"/>
        </w:rPr>
      </w:pPr>
      <w:r w:rsidRPr="00577043">
        <w:rPr>
          <w:rFonts w:eastAsia="Times New Roman" w:cs="Times New Roman"/>
          <w:bCs/>
          <w:color w:val="000000"/>
          <w:lang w:eastAsia="da-DK"/>
        </w:rPr>
        <w:t xml:space="preserve">De berørte medlemsstater </w:t>
      </w:r>
      <w:r w:rsidR="005F5517" w:rsidRPr="00577043">
        <w:rPr>
          <w:rFonts w:eastAsia="Times New Roman" w:cs="Times New Roman"/>
          <w:bCs/>
          <w:color w:val="000000"/>
          <w:lang w:eastAsia="da-DK"/>
        </w:rPr>
        <w:t>m</w:t>
      </w:r>
      <w:r w:rsidR="000F7FD2" w:rsidRPr="00577043">
        <w:rPr>
          <w:rFonts w:eastAsia="Times New Roman" w:cs="Times New Roman"/>
          <w:bCs/>
          <w:color w:val="000000"/>
          <w:lang w:eastAsia="da-DK"/>
        </w:rPr>
        <w:t>eddele</w:t>
      </w:r>
      <w:r w:rsidRPr="00577043">
        <w:rPr>
          <w:rFonts w:eastAsia="Times New Roman" w:cs="Times New Roman"/>
          <w:bCs/>
          <w:color w:val="000000"/>
          <w:lang w:eastAsia="da-DK"/>
        </w:rPr>
        <w:t>r</w:t>
      </w:r>
      <w:r w:rsidR="000F7FD2" w:rsidRPr="00577043">
        <w:rPr>
          <w:rFonts w:eastAsia="Times New Roman" w:cs="Times New Roman"/>
          <w:bCs/>
          <w:color w:val="000000"/>
          <w:lang w:eastAsia="da-DK"/>
        </w:rPr>
        <w:t xml:space="preserve"> den rapporterende medlemsstat eventuelle overvejelser, som er relevante for valideringen af en ansøgning</w:t>
      </w:r>
      <w:r w:rsidR="000A1A0A">
        <w:rPr>
          <w:rFonts w:eastAsia="Times New Roman" w:cs="Times New Roman"/>
          <w:bCs/>
          <w:color w:val="000000"/>
          <w:lang w:eastAsia="da-DK"/>
        </w:rPr>
        <w:t>.</w:t>
      </w:r>
    </w:p>
    <w:p w14:paraId="72B85CB7" w14:textId="77777777" w:rsidR="007B379B" w:rsidRPr="00577043" w:rsidRDefault="007B379B" w:rsidP="007B379B">
      <w:pPr>
        <w:pStyle w:val="Listeafsnit"/>
        <w:ind w:left="1080"/>
        <w:rPr>
          <w:rFonts w:eastAsia="Times New Roman" w:cs="Times New Roman"/>
          <w:bCs/>
          <w:color w:val="000000"/>
          <w:lang w:eastAsia="da-DK"/>
        </w:rPr>
      </w:pPr>
    </w:p>
    <w:p w14:paraId="25C9BEAF" w14:textId="77777777" w:rsidR="005F5517" w:rsidRPr="00577043" w:rsidRDefault="005F5517" w:rsidP="007B379B">
      <w:pPr>
        <w:pStyle w:val="Listeafsnit"/>
        <w:numPr>
          <w:ilvl w:val="0"/>
          <w:numId w:val="26"/>
        </w:numPr>
        <w:rPr>
          <w:rFonts w:eastAsia="Times New Roman" w:cs="Times New Roman"/>
          <w:bCs/>
          <w:color w:val="000000"/>
          <w:lang w:eastAsia="da-DK"/>
        </w:rPr>
      </w:pPr>
      <w:r w:rsidRPr="00577043">
        <w:rPr>
          <w:rFonts w:eastAsia="Times New Roman" w:cs="Times New Roman"/>
          <w:bCs/>
          <w:color w:val="000000"/>
          <w:lang w:eastAsia="da-DK"/>
        </w:rPr>
        <w:t>Den rapporterende medlemsstat validerer ansøgningen under hensyntagen til de berørte medlemsstaters overvejelser.</w:t>
      </w:r>
      <w:r w:rsidR="00195528">
        <w:rPr>
          <w:rFonts w:eastAsia="Times New Roman" w:cs="Times New Roman"/>
          <w:bCs/>
          <w:color w:val="000000"/>
          <w:lang w:eastAsia="da-DK"/>
        </w:rPr>
        <w:t xml:space="preserve"> </w:t>
      </w:r>
    </w:p>
    <w:p w14:paraId="47A5101F" w14:textId="77777777" w:rsidR="007B379B" w:rsidRDefault="007B379B" w:rsidP="00195528">
      <w:pPr>
        <w:rPr>
          <w:rFonts w:eastAsia="Times New Roman" w:cs="Times New Roman"/>
          <w:bCs/>
          <w:color w:val="000000"/>
          <w:lang w:eastAsia="da-DK"/>
        </w:rPr>
      </w:pPr>
    </w:p>
    <w:p w14:paraId="22685938" w14:textId="77777777" w:rsidR="00195528" w:rsidRPr="00893C58" w:rsidRDefault="00195528" w:rsidP="00195528">
      <w:pPr>
        <w:rPr>
          <w:rFonts w:eastAsia="Times New Roman" w:cs="Times New Roman"/>
          <w:bCs/>
          <w:color w:val="000000"/>
          <w:u w:val="single"/>
          <w:lang w:eastAsia="da-DK"/>
        </w:rPr>
      </w:pPr>
      <w:r w:rsidRPr="00893C58">
        <w:rPr>
          <w:rFonts w:eastAsia="Times New Roman" w:cs="Times New Roman"/>
          <w:bCs/>
          <w:color w:val="000000"/>
          <w:u w:val="single"/>
          <w:lang w:eastAsia="da-DK"/>
        </w:rPr>
        <w:t>Vurdering af en ansøgning (opfylder forsøget forordningens krav)</w:t>
      </w:r>
      <w:r w:rsidR="002322A0">
        <w:rPr>
          <w:rFonts w:eastAsia="Times New Roman" w:cs="Times New Roman"/>
          <w:bCs/>
          <w:color w:val="000000"/>
          <w:u w:val="single"/>
          <w:lang w:eastAsia="da-DK"/>
        </w:rPr>
        <w:t xml:space="preserve"> (se afsnit 2.2.2.4-2.2.2.6)</w:t>
      </w:r>
    </w:p>
    <w:p w14:paraId="183378A9" w14:textId="77777777" w:rsidR="005F5517" w:rsidRPr="00577043" w:rsidRDefault="005F5517" w:rsidP="007B379B">
      <w:pPr>
        <w:pStyle w:val="Listeafsnit"/>
        <w:numPr>
          <w:ilvl w:val="0"/>
          <w:numId w:val="26"/>
        </w:numPr>
        <w:rPr>
          <w:rFonts w:eastAsia="Times New Roman" w:cs="Times New Roman"/>
          <w:bCs/>
          <w:color w:val="000000"/>
          <w:lang w:eastAsia="da-DK"/>
        </w:rPr>
      </w:pPr>
      <w:r w:rsidRPr="00577043">
        <w:rPr>
          <w:rFonts w:eastAsia="Times New Roman" w:cs="Times New Roman"/>
          <w:bCs/>
          <w:color w:val="000000"/>
          <w:lang w:eastAsia="da-DK"/>
        </w:rPr>
        <w:t>Den rapporterende medlemsstat udarbejder et udkast til vurderingsrapportens del I.</w:t>
      </w:r>
    </w:p>
    <w:p w14:paraId="09A8B188" w14:textId="77777777" w:rsidR="007B379B" w:rsidRPr="00577043" w:rsidRDefault="007B379B" w:rsidP="007B379B">
      <w:pPr>
        <w:pStyle w:val="Listeafsnit"/>
        <w:ind w:left="1080"/>
        <w:rPr>
          <w:rFonts w:eastAsia="Times New Roman" w:cs="Times New Roman"/>
          <w:bCs/>
          <w:color w:val="000000"/>
          <w:lang w:eastAsia="da-DK"/>
        </w:rPr>
      </w:pPr>
    </w:p>
    <w:p w14:paraId="27AF627C" w14:textId="77777777" w:rsidR="000F7FD2" w:rsidRPr="00577043" w:rsidRDefault="005F5517" w:rsidP="007B379B">
      <w:pPr>
        <w:pStyle w:val="Listeafsnit"/>
        <w:numPr>
          <w:ilvl w:val="0"/>
          <w:numId w:val="26"/>
        </w:numPr>
        <w:rPr>
          <w:rFonts w:eastAsia="Times New Roman" w:cs="Times New Roman"/>
          <w:bCs/>
          <w:color w:val="000000"/>
          <w:lang w:eastAsia="da-DK"/>
        </w:rPr>
      </w:pPr>
      <w:r w:rsidRPr="00577043">
        <w:rPr>
          <w:rFonts w:eastAsia="Times New Roman" w:cs="Times New Roman"/>
          <w:bCs/>
          <w:color w:val="000000"/>
          <w:lang w:eastAsia="da-DK"/>
        </w:rPr>
        <w:t xml:space="preserve">De berørte medlemsstater </w:t>
      </w:r>
      <w:r w:rsidR="000F7FD2" w:rsidRPr="00577043">
        <w:rPr>
          <w:rFonts w:eastAsia="Times New Roman" w:cs="Times New Roman"/>
          <w:bCs/>
          <w:color w:val="000000"/>
          <w:lang w:eastAsia="da-DK"/>
        </w:rPr>
        <w:t>vurdere</w:t>
      </w:r>
      <w:r w:rsidRPr="00577043">
        <w:rPr>
          <w:rFonts w:eastAsia="Times New Roman" w:cs="Times New Roman"/>
          <w:bCs/>
          <w:color w:val="000000"/>
          <w:lang w:eastAsia="da-DK"/>
        </w:rPr>
        <w:t xml:space="preserve">r ansøgningen </w:t>
      </w:r>
      <w:r w:rsidR="000F7FD2" w:rsidRPr="00577043">
        <w:rPr>
          <w:rFonts w:eastAsia="Times New Roman" w:cs="Times New Roman"/>
          <w:bCs/>
          <w:color w:val="000000"/>
          <w:lang w:eastAsia="da-DK"/>
        </w:rPr>
        <w:t>på grundlag af den rapporterende medlemsstats udkast t</w:t>
      </w:r>
      <w:r w:rsidRPr="00577043">
        <w:rPr>
          <w:rFonts w:eastAsia="Times New Roman" w:cs="Times New Roman"/>
          <w:bCs/>
          <w:color w:val="000000"/>
          <w:lang w:eastAsia="da-DK"/>
        </w:rPr>
        <w:t>il del I af vurderingsrapporten og deler alle overvejelser med de øvrige berørte medlemsstater.</w:t>
      </w:r>
    </w:p>
    <w:p w14:paraId="0E61EBBE" w14:textId="77777777" w:rsidR="007B379B" w:rsidRPr="00577043" w:rsidRDefault="007B379B" w:rsidP="007B379B">
      <w:pPr>
        <w:pStyle w:val="Listeafsnit"/>
        <w:ind w:left="1080"/>
        <w:rPr>
          <w:rFonts w:eastAsia="Times New Roman" w:cs="Times New Roman"/>
          <w:bCs/>
          <w:color w:val="000000"/>
          <w:lang w:eastAsia="da-DK"/>
        </w:rPr>
      </w:pPr>
    </w:p>
    <w:p w14:paraId="5D9D9071" w14:textId="77777777" w:rsidR="00860D72" w:rsidRPr="00577043" w:rsidRDefault="00860D72" w:rsidP="007B379B">
      <w:pPr>
        <w:pStyle w:val="Listeafsnit"/>
        <w:numPr>
          <w:ilvl w:val="0"/>
          <w:numId w:val="26"/>
        </w:numPr>
        <w:rPr>
          <w:rFonts w:eastAsia="Times New Roman" w:cs="Times New Roman"/>
          <w:bCs/>
          <w:color w:val="000000"/>
          <w:lang w:eastAsia="da-DK"/>
        </w:rPr>
      </w:pPr>
      <w:r w:rsidRPr="00577043">
        <w:rPr>
          <w:rFonts w:eastAsia="Times New Roman" w:cs="Times New Roman"/>
          <w:bCs/>
          <w:color w:val="000000"/>
          <w:lang w:eastAsia="da-DK"/>
        </w:rPr>
        <w:t>Rapporterende medlemsstat kan under hensyntagen til overvejelserne fra de berørte medlemsstater stille supplerende spørgsmål til sponsor</w:t>
      </w:r>
      <w:r w:rsidR="007E1880" w:rsidRPr="00577043">
        <w:rPr>
          <w:rFonts w:eastAsia="Times New Roman" w:cs="Times New Roman"/>
          <w:bCs/>
          <w:color w:val="000000"/>
          <w:lang w:eastAsia="da-DK"/>
        </w:rPr>
        <w:t>, som skal besvares inden for en given frist</w:t>
      </w:r>
      <w:r w:rsidRPr="00577043">
        <w:rPr>
          <w:rFonts w:eastAsia="Times New Roman" w:cs="Times New Roman"/>
          <w:bCs/>
          <w:color w:val="000000"/>
          <w:lang w:eastAsia="da-DK"/>
        </w:rPr>
        <w:t>.</w:t>
      </w:r>
    </w:p>
    <w:p w14:paraId="00BB36A4" w14:textId="77777777" w:rsidR="00860D72" w:rsidRPr="00577043" w:rsidRDefault="00860D72" w:rsidP="00860D72">
      <w:pPr>
        <w:pStyle w:val="Listeafsnit"/>
        <w:rPr>
          <w:rFonts w:eastAsia="Times New Roman" w:cs="Times New Roman"/>
          <w:bCs/>
          <w:color w:val="000000"/>
          <w:lang w:eastAsia="da-DK"/>
        </w:rPr>
      </w:pPr>
    </w:p>
    <w:p w14:paraId="292BE129" w14:textId="77777777" w:rsidR="005F5517" w:rsidRPr="00577043" w:rsidRDefault="005F5517" w:rsidP="007B379B">
      <w:pPr>
        <w:pStyle w:val="Listeafsnit"/>
        <w:numPr>
          <w:ilvl w:val="0"/>
          <w:numId w:val="26"/>
        </w:numPr>
        <w:rPr>
          <w:rFonts w:eastAsia="Times New Roman" w:cs="Times New Roman"/>
          <w:bCs/>
          <w:color w:val="000000"/>
          <w:lang w:eastAsia="da-DK"/>
        </w:rPr>
      </w:pPr>
      <w:r w:rsidRPr="00577043">
        <w:rPr>
          <w:rFonts w:eastAsia="Times New Roman" w:cs="Times New Roman"/>
          <w:bCs/>
          <w:color w:val="000000"/>
          <w:lang w:eastAsia="da-DK"/>
        </w:rPr>
        <w:t>Den rapporterende medlemsstat færdiggør vurderingsrapportens del I</w:t>
      </w:r>
      <w:r w:rsidR="006B57A6">
        <w:rPr>
          <w:rFonts w:eastAsia="Times New Roman" w:cs="Times New Roman"/>
          <w:bCs/>
          <w:color w:val="000000"/>
          <w:lang w:eastAsia="da-DK"/>
        </w:rPr>
        <w:t xml:space="preserve"> og forelægger den for sponsor</w:t>
      </w:r>
      <w:r w:rsidRPr="00577043">
        <w:rPr>
          <w:rFonts w:eastAsia="Times New Roman" w:cs="Times New Roman"/>
          <w:bCs/>
          <w:color w:val="000000"/>
          <w:lang w:eastAsia="da-DK"/>
        </w:rPr>
        <w:t>.</w:t>
      </w:r>
    </w:p>
    <w:p w14:paraId="1369A27D" w14:textId="77777777" w:rsidR="007B379B" w:rsidRPr="00577043" w:rsidRDefault="007B379B" w:rsidP="007B379B">
      <w:pPr>
        <w:pStyle w:val="Listeafsnit"/>
        <w:ind w:left="1080"/>
        <w:rPr>
          <w:rFonts w:eastAsia="Times New Roman" w:cs="Times New Roman"/>
          <w:bCs/>
          <w:color w:val="000000"/>
          <w:lang w:eastAsia="da-DK"/>
        </w:rPr>
      </w:pPr>
    </w:p>
    <w:p w14:paraId="568B440D" w14:textId="77777777" w:rsidR="000F7FD2" w:rsidRPr="00577043" w:rsidRDefault="005F5517" w:rsidP="007B379B">
      <w:pPr>
        <w:pStyle w:val="Listeafsnit"/>
        <w:numPr>
          <w:ilvl w:val="0"/>
          <w:numId w:val="26"/>
        </w:numPr>
        <w:rPr>
          <w:rFonts w:eastAsia="Times New Roman" w:cs="Times New Roman"/>
          <w:bCs/>
          <w:color w:val="000000"/>
          <w:lang w:eastAsia="da-DK"/>
        </w:rPr>
      </w:pPr>
      <w:r w:rsidRPr="00577043">
        <w:rPr>
          <w:rFonts w:eastAsia="Times New Roman" w:cs="Times New Roman"/>
          <w:bCs/>
          <w:color w:val="000000"/>
          <w:lang w:eastAsia="da-DK"/>
        </w:rPr>
        <w:t xml:space="preserve">Hver enkelt berørt medlemsstat </w:t>
      </w:r>
      <w:r w:rsidR="000F7FD2" w:rsidRPr="00577043">
        <w:rPr>
          <w:rFonts w:eastAsia="Times New Roman" w:cs="Times New Roman"/>
          <w:bCs/>
          <w:color w:val="000000"/>
          <w:lang w:eastAsia="da-DK"/>
        </w:rPr>
        <w:t>udarbejde</w:t>
      </w:r>
      <w:r w:rsidRPr="00577043">
        <w:rPr>
          <w:rFonts w:eastAsia="Times New Roman" w:cs="Times New Roman"/>
          <w:bCs/>
          <w:color w:val="000000"/>
          <w:lang w:eastAsia="da-DK"/>
        </w:rPr>
        <w:t>r</w:t>
      </w:r>
      <w:r w:rsidR="000F7FD2" w:rsidRPr="00577043">
        <w:rPr>
          <w:rFonts w:eastAsia="Times New Roman" w:cs="Times New Roman"/>
          <w:bCs/>
          <w:color w:val="000000"/>
          <w:lang w:eastAsia="da-DK"/>
        </w:rPr>
        <w:t xml:space="preserve"> del II af vurderingsrapporten og forelægge</w:t>
      </w:r>
      <w:r w:rsidR="007B379B" w:rsidRPr="00577043">
        <w:rPr>
          <w:rFonts w:eastAsia="Times New Roman" w:cs="Times New Roman"/>
          <w:bCs/>
          <w:color w:val="000000"/>
          <w:lang w:eastAsia="da-DK"/>
        </w:rPr>
        <w:t>r</w:t>
      </w:r>
      <w:r w:rsidR="000F7FD2" w:rsidRPr="00577043">
        <w:rPr>
          <w:rFonts w:eastAsia="Times New Roman" w:cs="Times New Roman"/>
          <w:bCs/>
          <w:color w:val="000000"/>
          <w:lang w:eastAsia="da-DK"/>
        </w:rPr>
        <w:t xml:space="preserve"> den</w:t>
      </w:r>
      <w:r w:rsidRPr="00577043">
        <w:rPr>
          <w:rFonts w:eastAsia="Times New Roman" w:cs="Times New Roman"/>
          <w:bCs/>
          <w:color w:val="000000"/>
          <w:lang w:eastAsia="da-DK"/>
        </w:rPr>
        <w:t>ne inkl. konklusion for sponsor.</w:t>
      </w:r>
      <w:r w:rsidR="000F7FD2" w:rsidRPr="00577043">
        <w:rPr>
          <w:rFonts w:eastAsia="Times New Roman" w:cs="Times New Roman"/>
          <w:bCs/>
          <w:color w:val="000000"/>
          <w:lang w:eastAsia="da-DK"/>
        </w:rPr>
        <w:t xml:space="preserve"> </w:t>
      </w:r>
      <w:r w:rsidR="008F3A68" w:rsidRPr="00577043">
        <w:rPr>
          <w:rFonts w:eastAsia="Times New Roman" w:cs="Times New Roman"/>
          <w:bCs/>
          <w:color w:val="000000"/>
          <w:lang w:eastAsia="da-DK"/>
        </w:rPr>
        <w:t xml:space="preserve">Enhver berørt medlemsstat kan som led i </w:t>
      </w:r>
      <w:r w:rsidR="006F5B2C">
        <w:rPr>
          <w:rFonts w:eastAsia="Times New Roman" w:cs="Times New Roman"/>
          <w:bCs/>
          <w:color w:val="000000"/>
          <w:lang w:eastAsia="da-DK"/>
        </w:rPr>
        <w:t xml:space="preserve">denne del af </w:t>
      </w:r>
      <w:r w:rsidR="008F3A68" w:rsidRPr="00577043">
        <w:rPr>
          <w:rFonts w:eastAsia="Times New Roman" w:cs="Times New Roman"/>
          <w:bCs/>
          <w:color w:val="000000"/>
          <w:lang w:eastAsia="da-DK"/>
        </w:rPr>
        <w:t>vurderingen stille supplerende spørgsmål til sponsor.</w:t>
      </w:r>
    </w:p>
    <w:p w14:paraId="37BE967B" w14:textId="77777777" w:rsidR="007B379B" w:rsidRDefault="007B379B" w:rsidP="00195528">
      <w:pPr>
        <w:rPr>
          <w:rFonts w:eastAsia="Times New Roman" w:cs="Times New Roman"/>
          <w:bCs/>
          <w:color w:val="000000"/>
          <w:lang w:eastAsia="da-DK"/>
        </w:rPr>
      </w:pPr>
    </w:p>
    <w:p w14:paraId="259FB01F" w14:textId="77777777" w:rsidR="00195528" w:rsidRPr="00195528" w:rsidRDefault="00195528" w:rsidP="00195528">
      <w:pPr>
        <w:rPr>
          <w:rFonts w:eastAsia="Times New Roman" w:cs="Times New Roman"/>
          <w:bCs/>
          <w:color w:val="000000"/>
          <w:u w:val="single"/>
          <w:lang w:eastAsia="da-DK"/>
        </w:rPr>
      </w:pPr>
      <w:r>
        <w:rPr>
          <w:rFonts w:eastAsia="Times New Roman" w:cs="Times New Roman"/>
          <w:bCs/>
          <w:color w:val="000000"/>
          <w:u w:val="single"/>
          <w:lang w:eastAsia="da-DK"/>
        </w:rPr>
        <w:t xml:space="preserve">Afgørelse </w:t>
      </w:r>
      <w:r w:rsidR="00E53C17">
        <w:rPr>
          <w:rFonts w:eastAsia="Times New Roman" w:cs="Times New Roman"/>
          <w:bCs/>
          <w:color w:val="000000"/>
          <w:u w:val="single"/>
          <w:lang w:eastAsia="da-DK"/>
        </w:rPr>
        <w:t>om</w:t>
      </w:r>
      <w:r>
        <w:rPr>
          <w:rFonts w:eastAsia="Times New Roman" w:cs="Times New Roman"/>
          <w:bCs/>
          <w:color w:val="000000"/>
          <w:u w:val="single"/>
          <w:lang w:eastAsia="da-DK"/>
        </w:rPr>
        <w:t xml:space="preserve"> godkendelse af ansøgning</w:t>
      </w:r>
      <w:r w:rsidR="002322A0">
        <w:rPr>
          <w:rFonts w:eastAsia="Times New Roman" w:cs="Times New Roman"/>
          <w:bCs/>
          <w:color w:val="000000"/>
          <w:u w:val="single"/>
          <w:lang w:eastAsia="da-DK"/>
        </w:rPr>
        <w:t xml:space="preserve"> (se afsnit 2.2.2.7)</w:t>
      </w:r>
    </w:p>
    <w:p w14:paraId="7A345B04" w14:textId="77777777" w:rsidR="000F7FD2" w:rsidRPr="00577043" w:rsidRDefault="005F5517" w:rsidP="000F7FD2">
      <w:pPr>
        <w:pStyle w:val="Listeafsnit"/>
        <w:numPr>
          <w:ilvl w:val="0"/>
          <w:numId w:val="26"/>
        </w:numPr>
        <w:rPr>
          <w:rFonts w:eastAsia="Times New Roman" w:cs="Times New Roman"/>
          <w:bCs/>
          <w:color w:val="000000"/>
          <w:lang w:eastAsia="da-DK"/>
        </w:rPr>
      </w:pPr>
      <w:r w:rsidRPr="00577043">
        <w:rPr>
          <w:rFonts w:eastAsia="Times New Roman" w:cs="Times New Roman"/>
          <w:bCs/>
          <w:color w:val="000000"/>
          <w:lang w:eastAsia="da-DK"/>
        </w:rPr>
        <w:t xml:space="preserve">Hver enkelt berørt medlemsstat </w:t>
      </w:r>
      <w:r w:rsidR="000F7FD2" w:rsidRPr="00577043">
        <w:rPr>
          <w:rFonts w:eastAsia="Times New Roman" w:cs="Times New Roman"/>
          <w:bCs/>
          <w:color w:val="000000"/>
          <w:lang w:eastAsia="da-DK"/>
        </w:rPr>
        <w:t>træffe</w:t>
      </w:r>
      <w:r w:rsidRPr="00577043">
        <w:rPr>
          <w:rFonts w:eastAsia="Times New Roman" w:cs="Times New Roman"/>
          <w:bCs/>
          <w:color w:val="000000"/>
          <w:lang w:eastAsia="da-DK"/>
        </w:rPr>
        <w:t>r</w:t>
      </w:r>
      <w:r w:rsidR="000F7FD2" w:rsidRPr="00577043">
        <w:rPr>
          <w:rFonts w:eastAsia="Times New Roman" w:cs="Times New Roman"/>
          <w:bCs/>
          <w:color w:val="000000"/>
          <w:lang w:eastAsia="da-DK"/>
        </w:rPr>
        <w:t xml:space="preserve"> afgørelse om det kliniske forsøg godkendes, om det godkendes på visse betingelser, eller om der gives afslag på godkendelse og meddele sponsor dette v</w:t>
      </w:r>
      <w:r w:rsidR="006F5B2C">
        <w:rPr>
          <w:rFonts w:eastAsia="Times New Roman" w:cs="Times New Roman"/>
          <w:bCs/>
          <w:color w:val="000000"/>
          <w:lang w:eastAsia="da-DK"/>
        </w:rPr>
        <w:t>ed hjælp af</w:t>
      </w:r>
      <w:r w:rsidR="000F7FD2" w:rsidRPr="00577043">
        <w:rPr>
          <w:rFonts w:eastAsia="Times New Roman" w:cs="Times New Roman"/>
          <w:bCs/>
          <w:color w:val="000000"/>
          <w:lang w:eastAsia="da-DK"/>
        </w:rPr>
        <w:t xml:space="preserve"> en enkelt afgørelse.</w:t>
      </w:r>
      <w:r w:rsidR="0060565F" w:rsidRPr="00577043">
        <w:rPr>
          <w:rFonts w:eastAsia="Times New Roman" w:cs="Times New Roman"/>
          <w:bCs/>
          <w:color w:val="000000"/>
          <w:lang w:eastAsia="da-DK"/>
        </w:rPr>
        <w:t xml:space="preserve"> Afgørelsen skal </w:t>
      </w:r>
      <w:r w:rsidR="006F5B2C">
        <w:rPr>
          <w:rFonts w:eastAsia="Times New Roman" w:cs="Times New Roman"/>
          <w:bCs/>
          <w:color w:val="000000"/>
          <w:lang w:eastAsia="da-DK"/>
        </w:rPr>
        <w:t xml:space="preserve">således </w:t>
      </w:r>
      <w:r w:rsidR="0060565F" w:rsidRPr="00577043">
        <w:rPr>
          <w:rFonts w:eastAsia="Times New Roman" w:cs="Times New Roman"/>
          <w:bCs/>
          <w:color w:val="000000"/>
          <w:lang w:eastAsia="da-DK"/>
        </w:rPr>
        <w:t>være en samle</w:t>
      </w:r>
      <w:r w:rsidR="008F3A68" w:rsidRPr="00577043">
        <w:rPr>
          <w:rFonts w:eastAsia="Times New Roman" w:cs="Times New Roman"/>
          <w:bCs/>
          <w:color w:val="000000"/>
          <w:lang w:eastAsia="da-DK"/>
        </w:rPr>
        <w:t>t</w:t>
      </w:r>
      <w:r w:rsidR="0060565F" w:rsidRPr="00577043">
        <w:rPr>
          <w:rFonts w:eastAsia="Times New Roman" w:cs="Times New Roman"/>
          <w:bCs/>
          <w:color w:val="000000"/>
          <w:lang w:eastAsia="da-DK"/>
        </w:rPr>
        <w:t xml:space="preserve"> afgørelse</w:t>
      </w:r>
      <w:r w:rsidR="002C7ACD" w:rsidRPr="00577043">
        <w:rPr>
          <w:rFonts w:eastAsia="Times New Roman" w:cs="Times New Roman"/>
          <w:bCs/>
          <w:color w:val="000000"/>
          <w:lang w:eastAsia="da-DK"/>
        </w:rPr>
        <w:t xml:space="preserve"> baseret på såvel den sundhedsfaglige som videnskabsetisk vurdering af forsøget.</w:t>
      </w:r>
    </w:p>
    <w:p w14:paraId="4594ACC7" w14:textId="77777777" w:rsidR="006B2F62" w:rsidRPr="00577043" w:rsidRDefault="006B2F62" w:rsidP="00CB2276">
      <w:pPr>
        <w:rPr>
          <w:rFonts w:eastAsia="Times New Roman" w:cs="Times New Roman"/>
          <w:bCs/>
          <w:color w:val="000000"/>
          <w:lang w:eastAsia="da-DK"/>
        </w:rPr>
      </w:pPr>
    </w:p>
    <w:p w14:paraId="73B51FBD" w14:textId="77777777" w:rsidR="00D3625E" w:rsidRPr="00577043" w:rsidRDefault="003B2348" w:rsidP="00D3625E">
      <w:pPr>
        <w:rPr>
          <w:rFonts w:eastAsia="Times New Roman" w:cs="Times New Roman"/>
          <w:bCs/>
          <w:color w:val="000000"/>
          <w:lang w:eastAsia="da-DK"/>
        </w:rPr>
      </w:pPr>
      <w:r w:rsidRPr="00577043">
        <w:rPr>
          <w:rFonts w:eastAsia="Times New Roman" w:cs="Times New Roman"/>
          <w:bCs/>
          <w:color w:val="000000"/>
          <w:lang w:eastAsia="da-DK"/>
        </w:rPr>
        <w:t>Det følger af forordningens art</w:t>
      </w:r>
      <w:r w:rsidR="004D355A">
        <w:rPr>
          <w:rFonts w:eastAsia="Times New Roman" w:cs="Times New Roman"/>
          <w:bCs/>
          <w:color w:val="000000"/>
          <w:lang w:eastAsia="da-DK"/>
        </w:rPr>
        <w:t>ikel</w:t>
      </w:r>
      <w:r w:rsidRPr="00577043">
        <w:rPr>
          <w:rFonts w:eastAsia="Times New Roman" w:cs="Times New Roman"/>
          <w:bCs/>
          <w:color w:val="000000"/>
          <w:lang w:eastAsia="da-DK"/>
        </w:rPr>
        <w:t xml:space="preserve"> 5-7, at d</w:t>
      </w:r>
      <w:r w:rsidR="00BF5CEB" w:rsidRPr="00577043">
        <w:rPr>
          <w:rFonts w:eastAsia="Times New Roman" w:cs="Times New Roman"/>
          <w:bCs/>
          <w:color w:val="000000"/>
          <w:lang w:eastAsia="da-DK"/>
        </w:rPr>
        <w:t xml:space="preserve">en samlede behandling af en ansøgning </w:t>
      </w:r>
      <w:r w:rsidRPr="00577043">
        <w:rPr>
          <w:rFonts w:eastAsia="Times New Roman" w:cs="Times New Roman"/>
          <w:bCs/>
          <w:color w:val="000000"/>
          <w:lang w:eastAsia="da-DK"/>
        </w:rPr>
        <w:t>skal ske</w:t>
      </w:r>
      <w:r w:rsidR="00BF5CEB" w:rsidRPr="00577043">
        <w:rPr>
          <w:rFonts w:eastAsia="Times New Roman" w:cs="Times New Roman"/>
          <w:bCs/>
          <w:color w:val="000000"/>
          <w:lang w:eastAsia="da-DK"/>
        </w:rPr>
        <w:t xml:space="preserve"> inden for 60 dage</w:t>
      </w:r>
      <w:r w:rsidRPr="00577043">
        <w:rPr>
          <w:rFonts w:eastAsia="Times New Roman" w:cs="Times New Roman"/>
          <w:bCs/>
          <w:color w:val="000000"/>
          <w:lang w:eastAsia="da-DK"/>
        </w:rPr>
        <w:t xml:space="preserve">, hvilket </w:t>
      </w:r>
      <w:r w:rsidR="007638F1" w:rsidRPr="00577043">
        <w:rPr>
          <w:rFonts w:eastAsia="Times New Roman" w:cs="Times New Roman"/>
          <w:bCs/>
          <w:color w:val="000000"/>
          <w:lang w:eastAsia="da-DK"/>
        </w:rPr>
        <w:t xml:space="preserve">overordnet </w:t>
      </w:r>
      <w:r w:rsidRPr="00577043">
        <w:rPr>
          <w:rFonts w:eastAsia="Times New Roman" w:cs="Times New Roman"/>
          <w:bCs/>
          <w:color w:val="000000"/>
          <w:lang w:eastAsia="da-DK"/>
        </w:rPr>
        <w:t xml:space="preserve">svarer til </w:t>
      </w:r>
      <w:r w:rsidR="00FF7422" w:rsidRPr="00577043">
        <w:rPr>
          <w:rFonts w:eastAsia="Times New Roman" w:cs="Times New Roman"/>
          <w:bCs/>
          <w:color w:val="000000"/>
          <w:lang w:eastAsia="da-DK"/>
        </w:rPr>
        <w:t>den samlede frist</w:t>
      </w:r>
      <w:r w:rsidR="00BF5CEB" w:rsidRPr="00577043">
        <w:rPr>
          <w:rFonts w:eastAsia="Times New Roman" w:cs="Times New Roman"/>
          <w:bCs/>
          <w:color w:val="000000"/>
          <w:lang w:eastAsia="da-DK"/>
        </w:rPr>
        <w:t xml:space="preserve"> </w:t>
      </w:r>
      <w:r w:rsidRPr="00577043">
        <w:rPr>
          <w:rFonts w:eastAsia="Times New Roman" w:cs="Times New Roman"/>
          <w:bCs/>
          <w:color w:val="000000"/>
          <w:lang w:eastAsia="da-DK"/>
        </w:rPr>
        <w:t xml:space="preserve">i medfør af </w:t>
      </w:r>
      <w:r w:rsidR="00634118" w:rsidRPr="00577043">
        <w:rPr>
          <w:rFonts w:eastAsia="Times New Roman" w:cs="Times New Roman"/>
          <w:bCs/>
          <w:color w:val="000000"/>
          <w:lang w:eastAsia="da-DK"/>
        </w:rPr>
        <w:t xml:space="preserve">gældende regler i </w:t>
      </w:r>
      <w:r w:rsidRPr="00577043">
        <w:rPr>
          <w:rFonts w:eastAsia="Times New Roman" w:cs="Times New Roman"/>
          <w:bCs/>
          <w:color w:val="000000"/>
          <w:lang w:eastAsia="da-DK"/>
        </w:rPr>
        <w:t>lægemiddelloven og komitéloven</w:t>
      </w:r>
      <w:r w:rsidR="00BF5CEB" w:rsidRPr="00577043">
        <w:rPr>
          <w:rFonts w:eastAsia="Times New Roman" w:cs="Times New Roman"/>
          <w:bCs/>
          <w:color w:val="000000"/>
          <w:lang w:eastAsia="da-DK"/>
        </w:rPr>
        <w:t xml:space="preserve">. </w:t>
      </w:r>
      <w:r w:rsidR="00634118" w:rsidRPr="00577043">
        <w:rPr>
          <w:rFonts w:eastAsia="Times New Roman" w:cs="Times New Roman"/>
          <w:bCs/>
          <w:color w:val="000000"/>
          <w:lang w:eastAsia="da-DK"/>
        </w:rPr>
        <w:t xml:space="preserve">I modsætning til </w:t>
      </w:r>
      <w:r w:rsidRPr="00577043">
        <w:rPr>
          <w:rFonts w:eastAsia="Times New Roman" w:cs="Times New Roman"/>
          <w:bCs/>
          <w:color w:val="000000"/>
          <w:lang w:eastAsia="da-DK"/>
        </w:rPr>
        <w:t>frister</w:t>
      </w:r>
      <w:r w:rsidR="00634118" w:rsidRPr="00577043">
        <w:rPr>
          <w:rFonts w:eastAsia="Times New Roman" w:cs="Times New Roman"/>
          <w:bCs/>
          <w:color w:val="000000"/>
          <w:lang w:eastAsia="da-DK"/>
        </w:rPr>
        <w:t>ne</w:t>
      </w:r>
      <w:r w:rsidRPr="00577043">
        <w:rPr>
          <w:rFonts w:eastAsia="Times New Roman" w:cs="Times New Roman"/>
          <w:bCs/>
          <w:color w:val="000000"/>
          <w:lang w:eastAsia="da-DK"/>
        </w:rPr>
        <w:t xml:space="preserve"> i lægemiddelloven og komitéloven vil der dog </w:t>
      </w:r>
      <w:r w:rsidR="00BF5CEB" w:rsidRPr="00577043">
        <w:rPr>
          <w:rFonts w:eastAsia="Times New Roman" w:cs="Times New Roman"/>
          <w:bCs/>
          <w:color w:val="000000"/>
          <w:lang w:eastAsia="da-DK"/>
        </w:rPr>
        <w:t xml:space="preserve">ikke </w:t>
      </w:r>
      <w:r w:rsidRPr="00577043">
        <w:rPr>
          <w:rFonts w:eastAsia="Times New Roman" w:cs="Times New Roman"/>
          <w:bCs/>
          <w:color w:val="000000"/>
          <w:lang w:eastAsia="da-DK"/>
        </w:rPr>
        <w:t xml:space="preserve">i medfør af forordningen </w:t>
      </w:r>
      <w:r w:rsidR="00BF5CEB" w:rsidRPr="00577043">
        <w:rPr>
          <w:rFonts w:eastAsia="Times New Roman" w:cs="Times New Roman"/>
          <w:bCs/>
          <w:color w:val="000000"/>
          <w:lang w:eastAsia="da-DK"/>
        </w:rPr>
        <w:t xml:space="preserve">være samlet 60 dage til en vurdering, idet </w:t>
      </w:r>
      <w:r w:rsidRPr="00577043">
        <w:rPr>
          <w:rFonts w:eastAsia="Times New Roman" w:cs="Times New Roman"/>
          <w:bCs/>
          <w:color w:val="000000"/>
          <w:lang w:eastAsia="da-DK"/>
        </w:rPr>
        <w:t>der er fastsat tidsfrister for de enkelte dele af en godkendelsesproces</w:t>
      </w:r>
      <w:r w:rsidR="006B2F62" w:rsidRPr="00577043">
        <w:rPr>
          <w:rFonts w:eastAsia="Times New Roman" w:cs="Times New Roman"/>
          <w:bCs/>
          <w:color w:val="000000"/>
          <w:lang w:eastAsia="da-DK"/>
        </w:rPr>
        <w:t>, jf. nedenfor.</w:t>
      </w:r>
      <w:r w:rsidR="00D3625E">
        <w:rPr>
          <w:rFonts w:eastAsia="Times New Roman" w:cs="Times New Roman"/>
          <w:bCs/>
          <w:color w:val="000000"/>
          <w:lang w:eastAsia="da-DK"/>
        </w:rPr>
        <w:t xml:space="preserve"> </w:t>
      </w:r>
      <w:r w:rsidR="00D3625E" w:rsidRPr="00577043">
        <w:rPr>
          <w:rFonts w:eastAsia="Times New Roman" w:cs="Times New Roman"/>
          <w:bCs/>
          <w:color w:val="000000"/>
          <w:lang w:eastAsia="da-DK"/>
        </w:rPr>
        <w:t xml:space="preserve">Hvis tidsfristen for at meddele sponsor en afgørelse ikke overholdes, anses konklusionen fra den rapporterende medlemsstat </w:t>
      </w:r>
      <w:r w:rsidR="00F34B7B">
        <w:rPr>
          <w:rFonts w:eastAsia="Times New Roman" w:cs="Times New Roman"/>
          <w:bCs/>
          <w:color w:val="000000"/>
          <w:lang w:eastAsia="da-DK"/>
        </w:rPr>
        <w:t xml:space="preserve">på vurderingsrapportens del I </w:t>
      </w:r>
      <w:r w:rsidR="00D3625E" w:rsidRPr="00577043">
        <w:rPr>
          <w:rFonts w:eastAsia="Times New Roman" w:cs="Times New Roman"/>
          <w:bCs/>
          <w:color w:val="000000"/>
          <w:lang w:eastAsia="da-DK"/>
        </w:rPr>
        <w:t xml:space="preserve">for at være den berørte </w:t>
      </w:r>
      <w:r w:rsidR="00D3625E" w:rsidRPr="00577043">
        <w:rPr>
          <w:rFonts w:eastAsia="Times New Roman" w:cs="Times New Roman"/>
          <w:bCs/>
          <w:color w:val="000000"/>
          <w:lang w:eastAsia="da-DK"/>
        </w:rPr>
        <w:lastRenderedPageBreak/>
        <w:t>medlemsstats konklusionen</w:t>
      </w:r>
      <w:r w:rsidR="00D3625E">
        <w:rPr>
          <w:rFonts w:eastAsia="Times New Roman" w:cs="Times New Roman"/>
          <w:bCs/>
          <w:color w:val="000000"/>
          <w:lang w:eastAsia="da-DK"/>
        </w:rPr>
        <w:t>, som nævnt i afsnit 1.4</w:t>
      </w:r>
      <w:r w:rsidR="00D3625E" w:rsidRPr="00577043">
        <w:rPr>
          <w:rFonts w:eastAsia="Times New Roman" w:cs="Times New Roman"/>
          <w:bCs/>
          <w:color w:val="000000"/>
          <w:lang w:eastAsia="da-DK"/>
        </w:rPr>
        <w:t xml:space="preserve">. </w:t>
      </w:r>
      <w:r w:rsidR="00D3625E">
        <w:rPr>
          <w:rFonts w:eastAsia="Times New Roman" w:cs="Times New Roman"/>
          <w:bCs/>
          <w:color w:val="000000"/>
          <w:lang w:eastAsia="da-DK"/>
        </w:rPr>
        <w:t xml:space="preserve">Hvis Danmark ikke har meddelt sin afgørelse inden for tidsfristen, vil forsøget således blive gennemført her i landet, uanset om </w:t>
      </w:r>
      <w:r w:rsidR="0058651B">
        <w:rPr>
          <w:rFonts w:eastAsia="Times New Roman" w:cs="Times New Roman"/>
          <w:bCs/>
          <w:color w:val="000000"/>
          <w:lang w:eastAsia="da-DK"/>
        </w:rPr>
        <w:t>Lægemiddelstyrelsen</w:t>
      </w:r>
      <w:r w:rsidR="00D3625E" w:rsidRPr="00577043">
        <w:rPr>
          <w:rFonts w:eastAsia="Times New Roman" w:cs="Times New Roman"/>
          <w:bCs/>
          <w:color w:val="000000"/>
          <w:lang w:eastAsia="da-DK"/>
        </w:rPr>
        <w:t xml:space="preserve"> eller den videnskabsetiske komité </w:t>
      </w:r>
      <w:r w:rsidR="00D3625E">
        <w:rPr>
          <w:rFonts w:eastAsia="Times New Roman" w:cs="Times New Roman"/>
          <w:bCs/>
          <w:color w:val="000000"/>
          <w:lang w:eastAsia="da-DK"/>
        </w:rPr>
        <w:t xml:space="preserve">evt. vurderer, at et forsøg </w:t>
      </w:r>
      <w:r w:rsidR="00D3625E" w:rsidRPr="00577043">
        <w:rPr>
          <w:rFonts w:eastAsia="Times New Roman" w:cs="Times New Roman"/>
          <w:bCs/>
          <w:color w:val="000000"/>
          <w:lang w:eastAsia="da-DK"/>
        </w:rPr>
        <w:t xml:space="preserve">bør </w:t>
      </w:r>
      <w:r w:rsidR="00D3625E">
        <w:rPr>
          <w:rFonts w:eastAsia="Times New Roman" w:cs="Times New Roman"/>
          <w:bCs/>
          <w:color w:val="000000"/>
          <w:lang w:eastAsia="da-DK"/>
        </w:rPr>
        <w:t>afvises</w:t>
      </w:r>
      <w:r w:rsidR="00D3625E" w:rsidRPr="00577043">
        <w:rPr>
          <w:rFonts w:eastAsia="Times New Roman" w:cs="Times New Roman"/>
          <w:bCs/>
          <w:color w:val="000000"/>
          <w:lang w:eastAsia="da-DK"/>
        </w:rPr>
        <w:t>.</w:t>
      </w:r>
    </w:p>
    <w:p w14:paraId="068F8083" w14:textId="77777777" w:rsidR="002C0428" w:rsidRPr="00577043" w:rsidRDefault="002C0428" w:rsidP="00CB2276">
      <w:pPr>
        <w:rPr>
          <w:rFonts w:eastAsia="Times New Roman" w:cs="Times New Roman"/>
          <w:bCs/>
          <w:color w:val="000000"/>
          <w:lang w:eastAsia="da-DK"/>
        </w:rPr>
      </w:pPr>
    </w:p>
    <w:p w14:paraId="4A41D5F7" w14:textId="77777777" w:rsidR="00E85AB0" w:rsidRPr="00577043" w:rsidRDefault="005D1ADC" w:rsidP="00E85AB0">
      <w:pPr>
        <w:rPr>
          <w:rFonts w:eastAsia="Times New Roman" w:cs="Times New Roman"/>
          <w:bCs/>
          <w:color w:val="000000"/>
          <w:lang w:eastAsia="da-DK"/>
        </w:rPr>
      </w:pPr>
      <w:r w:rsidRPr="00577043">
        <w:rPr>
          <w:rFonts w:eastAsia="Times New Roman" w:cs="Times New Roman"/>
          <w:bCs/>
          <w:color w:val="000000"/>
          <w:lang w:eastAsia="da-DK"/>
        </w:rPr>
        <w:t>Det foreslås</w:t>
      </w:r>
      <w:r w:rsidR="008750F2">
        <w:rPr>
          <w:rFonts w:eastAsia="Times New Roman" w:cs="Times New Roman"/>
          <w:bCs/>
          <w:color w:val="000000"/>
          <w:lang w:eastAsia="da-DK"/>
        </w:rPr>
        <w:t xml:space="preserve"> med § </w:t>
      </w:r>
      <w:r w:rsidR="009C3B5E">
        <w:rPr>
          <w:rFonts w:eastAsia="Times New Roman" w:cs="Times New Roman"/>
          <w:bCs/>
          <w:color w:val="000000"/>
          <w:lang w:eastAsia="da-DK"/>
        </w:rPr>
        <w:t>13</w:t>
      </w:r>
      <w:r w:rsidR="008750F2">
        <w:rPr>
          <w:rFonts w:eastAsia="Times New Roman" w:cs="Times New Roman"/>
          <w:bCs/>
          <w:color w:val="000000"/>
          <w:lang w:eastAsia="da-DK"/>
        </w:rPr>
        <w:t xml:space="preserve">, stk. </w:t>
      </w:r>
      <w:r w:rsidR="004170F4">
        <w:rPr>
          <w:rFonts w:eastAsia="Times New Roman" w:cs="Times New Roman"/>
          <w:bCs/>
          <w:color w:val="000000"/>
          <w:lang w:eastAsia="da-DK"/>
        </w:rPr>
        <w:t>2</w:t>
      </w:r>
      <w:r w:rsidRPr="00577043">
        <w:rPr>
          <w:rFonts w:eastAsia="Times New Roman" w:cs="Times New Roman"/>
          <w:bCs/>
          <w:color w:val="000000"/>
          <w:lang w:eastAsia="da-DK"/>
        </w:rPr>
        <w:t xml:space="preserve">, at </w:t>
      </w:r>
      <w:r w:rsidR="00A22EAD" w:rsidRPr="00577043">
        <w:rPr>
          <w:rFonts w:eastAsia="Times New Roman" w:cs="Times New Roman"/>
          <w:bCs/>
          <w:color w:val="000000"/>
          <w:lang w:eastAsia="da-DK"/>
        </w:rPr>
        <w:t>sundheds- og ældreministeren</w:t>
      </w:r>
      <w:r w:rsidRPr="00577043">
        <w:rPr>
          <w:rFonts w:eastAsia="Times New Roman" w:cs="Times New Roman"/>
          <w:bCs/>
          <w:color w:val="000000"/>
          <w:lang w:eastAsia="da-DK"/>
        </w:rPr>
        <w:t xml:space="preserve"> bemyndiges til at fastsætte nærmere regler om </w:t>
      </w:r>
      <w:r w:rsidR="00E85AB0" w:rsidRPr="00577043">
        <w:rPr>
          <w:rFonts w:eastAsia="Times New Roman" w:cs="Times New Roman"/>
          <w:bCs/>
          <w:color w:val="000000"/>
          <w:lang w:eastAsia="da-DK"/>
        </w:rPr>
        <w:t>behandling af ansøgning</w:t>
      </w:r>
      <w:r w:rsidR="00EB2575" w:rsidRPr="00577043">
        <w:rPr>
          <w:rFonts w:eastAsia="Times New Roman" w:cs="Times New Roman"/>
          <w:bCs/>
          <w:color w:val="000000"/>
          <w:lang w:eastAsia="da-DK"/>
        </w:rPr>
        <w:t>er om kliniske forsøg og opfølgningen på godkendte kliniske forsøg</w:t>
      </w:r>
      <w:r w:rsidRPr="00577043">
        <w:rPr>
          <w:rFonts w:eastAsia="Times New Roman" w:cs="Times New Roman"/>
          <w:bCs/>
          <w:color w:val="000000"/>
          <w:lang w:eastAsia="da-DK"/>
        </w:rPr>
        <w:t xml:space="preserve">. </w:t>
      </w:r>
      <w:r w:rsidR="00E85AB0" w:rsidRPr="00577043">
        <w:rPr>
          <w:rFonts w:eastAsia="Times New Roman" w:cs="Times New Roman"/>
          <w:bCs/>
          <w:color w:val="000000"/>
          <w:lang w:eastAsia="da-DK"/>
        </w:rPr>
        <w:t xml:space="preserve">Hjemlen vil blive benyttet til at fastsætte </w:t>
      </w:r>
      <w:r w:rsidR="00793725" w:rsidRPr="00577043">
        <w:rPr>
          <w:rFonts w:eastAsia="Times New Roman" w:cs="Times New Roman"/>
          <w:bCs/>
          <w:color w:val="000000"/>
          <w:lang w:eastAsia="da-DK"/>
        </w:rPr>
        <w:t xml:space="preserve">nærmere </w:t>
      </w:r>
      <w:r w:rsidR="00E85AB0" w:rsidRPr="00577043">
        <w:rPr>
          <w:rFonts w:eastAsia="Times New Roman" w:cs="Times New Roman"/>
          <w:bCs/>
          <w:color w:val="000000"/>
          <w:lang w:eastAsia="da-DK"/>
        </w:rPr>
        <w:t xml:space="preserve">bestemmelser om </w:t>
      </w:r>
      <w:r w:rsidR="0058651B">
        <w:rPr>
          <w:rFonts w:eastAsia="Times New Roman" w:cs="Times New Roman"/>
          <w:bCs/>
          <w:color w:val="000000"/>
          <w:lang w:eastAsia="da-DK"/>
        </w:rPr>
        <w:t>Lægemiddelstyrelsen</w:t>
      </w:r>
      <w:r w:rsidR="00E85AB0" w:rsidRPr="00577043">
        <w:rPr>
          <w:rFonts w:eastAsia="Times New Roman" w:cs="Times New Roman"/>
          <w:bCs/>
          <w:color w:val="000000"/>
          <w:lang w:eastAsia="da-DK"/>
        </w:rPr>
        <w:t xml:space="preserve">s og den videnskabsetiske komités </w:t>
      </w:r>
      <w:r w:rsidR="001278B9" w:rsidRPr="00577043">
        <w:rPr>
          <w:rFonts w:eastAsia="Times New Roman" w:cs="Times New Roman"/>
          <w:bCs/>
          <w:color w:val="000000"/>
          <w:lang w:eastAsia="da-DK"/>
        </w:rPr>
        <w:t>behandling af ansøgninger</w:t>
      </w:r>
      <w:r w:rsidR="00FF7422" w:rsidRPr="00577043">
        <w:rPr>
          <w:rFonts w:eastAsia="Times New Roman" w:cs="Times New Roman"/>
          <w:bCs/>
          <w:color w:val="000000"/>
          <w:lang w:eastAsia="da-DK"/>
        </w:rPr>
        <w:t xml:space="preserve">, </w:t>
      </w:r>
      <w:r w:rsidR="000E36A5" w:rsidRPr="00577043">
        <w:rPr>
          <w:rFonts w:eastAsia="Times New Roman" w:cs="Times New Roman"/>
          <w:bCs/>
          <w:color w:val="000000"/>
          <w:lang w:eastAsia="da-DK"/>
        </w:rPr>
        <w:t xml:space="preserve">dels </w:t>
      </w:r>
      <w:r w:rsidR="00E85AB0" w:rsidRPr="00577043">
        <w:rPr>
          <w:rFonts w:eastAsia="Times New Roman" w:cs="Times New Roman"/>
          <w:bCs/>
          <w:color w:val="000000"/>
          <w:lang w:eastAsia="da-DK"/>
        </w:rPr>
        <w:t xml:space="preserve">i de tilfælde hvor Danmark </w:t>
      </w:r>
      <w:r w:rsidR="000E36A5" w:rsidRPr="00577043">
        <w:rPr>
          <w:rFonts w:eastAsia="Times New Roman" w:cs="Times New Roman"/>
          <w:bCs/>
          <w:color w:val="000000"/>
          <w:lang w:eastAsia="da-DK"/>
        </w:rPr>
        <w:t xml:space="preserve">alene er berørt medlemsstat, dels </w:t>
      </w:r>
      <w:r w:rsidR="00FF7422" w:rsidRPr="00577043">
        <w:rPr>
          <w:rFonts w:eastAsia="Times New Roman" w:cs="Times New Roman"/>
          <w:bCs/>
          <w:color w:val="000000"/>
          <w:lang w:eastAsia="da-DK"/>
        </w:rPr>
        <w:t xml:space="preserve">i de </w:t>
      </w:r>
      <w:r w:rsidR="000E36A5" w:rsidRPr="00577043">
        <w:rPr>
          <w:rFonts w:eastAsia="Times New Roman" w:cs="Times New Roman"/>
          <w:bCs/>
          <w:color w:val="000000"/>
          <w:lang w:eastAsia="da-DK"/>
        </w:rPr>
        <w:t xml:space="preserve">tilfælde hvor Danmark </w:t>
      </w:r>
      <w:r w:rsidR="00E85AB0" w:rsidRPr="00577043">
        <w:rPr>
          <w:rFonts w:eastAsia="Times New Roman" w:cs="Times New Roman"/>
          <w:bCs/>
          <w:color w:val="000000"/>
          <w:lang w:eastAsia="da-DK"/>
        </w:rPr>
        <w:t xml:space="preserve">varetager funktionen som rapporterende medlemsstat. </w:t>
      </w:r>
    </w:p>
    <w:p w14:paraId="5ABA3D4B" w14:textId="77777777" w:rsidR="00FA7435" w:rsidRPr="00577043" w:rsidRDefault="00FA7435" w:rsidP="00CB2276">
      <w:pPr>
        <w:rPr>
          <w:rFonts w:eastAsia="Times New Roman" w:cs="Times New Roman"/>
          <w:bCs/>
          <w:color w:val="000000"/>
          <w:lang w:eastAsia="da-DK"/>
        </w:rPr>
      </w:pPr>
    </w:p>
    <w:p w14:paraId="35CE5AE9" w14:textId="77777777" w:rsidR="005D1ADC" w:rsidRPr="00577043" w:rsidRDefault="005F14CA" w:rsidP="005D1ADC">
      <w:pPr>
        <w:pStyle w:val="Overskrift5"/>
        <w:rPr>
          <w:rFonts w:eastAsia="Times New Roman"/>
          <w:lang w:eastAsia="da-DK"/>
        </w:rPr>
      </w:pPr>
      <w:r w:rsidRPr="00577043">
        <w:rPr>
          <w:rFonts w:eastAsia="Times New Roman"/>
          <w:lang w:eastAsia="da-DK"/>
        </w:rPr>
        <w:t>2.</w:t>
      </w:r>
      <w:r w:rsidR="001511E7" w:rsidRPr="00577043">
        <w:rPr>
          <w:rFonts w:eastAsia="Times New Roman"/>
          <w:lang w:eastAsia="da-DK"/>
        </w:rPr>
        <w:t>2</w:t>
      </w:r>
      <w:r w:rsidRPr="00577043">
        <w:rPr>
          <w:rFonts w:eastAsia="Times New Roman"/>
          <w:lang w:eastAsia="da-DK"/>
        </w:rPr>
        <w:t>.2</w:t>
      </w:r>
      <w:r w:rsidR="005D1ADC" w:rsidRPr="00577043">
        <w:rPr>
          <w:rFonts w:eastAsia="Times New Roman"/>
          <w:lang w:eastAsia="da-DK"/>
        </w:rPr>
        <w:t>.</w:t>
      </w:r>
      <w:r w:rsidRPr="00577043">
        <w:rPr>
          <w:rFonts w:eastAsia="Times New Roman"/>
          <w:lang w:eastAsia="da-DK"/>
        </w:rPr>
        <w:t>3.</w:t>
      </w:r>
      <w:r w:rsidR="001E7B9A" w:rsidRPr="00577043">
        <w:rPr>
          <w:rFonts w:eastAsia="Times New Roman"/>
          <w:lang w:eastAsia="da-DK"/>
        </w:rPr>
        <w:t xml:space="preserve"> V</w:t>
      </w:r>
      <w:r w:rsidR="005D1ADC" w:rsidRPr="00577043">
        <w:rPr>
          <w:rFonts w:eastAsia="Times New Roman"/>
          <w:lang w:eastAsia="da-DK"/>
        </w:rPr>
        <w:t>alg af rapporter</w:t>
      </w:r>
      <w:r w:rsidR="0090679B" w:rsidRPr="00577043">
        <w:rPr>
          <w:rFonts w:eastAsia="Times New Roman"/>
          <w:lang w:eastAsia="da-DK"/>
        </w:rPr>
        <w:t xml:space="preserve">ende medlemsstat og validering </w:t>
      </w:r>
      <w:r w:rsidR="005D1ADC" w:rsidRPr="00577043">
        <w:rPr>
          <w:rFonts w:eastAsia="Times New Roman"/>
          <w:lang w:eastAsia="da-DK"/>
        </w:rPr>
        <w:t xml:space="preserve">af ansøgning </w:t>
      </w:r>
      <w:r w:rsidR="00EB2575" w:rsidRPr="00577043">
        <w:rPr>
          <w:rFonts w:eastAsia="Times New Roman"/>
          <w:lang w:eastAsia="da-DK"/>
        </w:rPr>
        <w:t>(Danmark er berørt medlemsstat)</w:t>
      </w:r>
    </w:p>
    <w:p w14:paraId="48826F5D" w14:textId="77777777" w:rsidR="00DF6DC2" w:rsidRPr="00577043" w:rsidRDefault="006B2F62" w:rsidP="00DF6DC2">
      <w:pPr>
        <w:rPr>
          <w:rFonts w:eastAsia="Times New Roman" w:cs="Times New Roman"/>
          <w:bCs/>
          <w:color w:val="000000"/>
          <w:lang w:eastAsia="da-DK"/>
        </w:rPr>
      </w:pPr>
      <w:r w:rsidRPr="00577043">
        <w:rPr>
          <w:rFonts w:eastAsia="Times New Roman" w:cs="Times New Roman"/>
          <w:bCs/>
          <w:color w:val="000000"/>
          <w:lang w:eastAsia="da-DK"/>
        </w:rPr>
        <w:t>Indledningsvis skal en enkelt medlemsstat blandt de berør</w:t>
      </w:r>
      <w:r w:rsidR="000C1AA4" w:rsidRPr="00577043">
        <w:rPr>
          <w:rFonts w:eastAsia="Times New Roman" w:cs="Times New Roman"/>
          <w:bCs/>
          <w:color w:val="000000"/>
          <w:lang w:eastAsia="da-DK"/>
        </w:rPr>
        <w:t xml:space="preserve">te medlemsstater, </w:t>
      </w:r>
      <w:r w:rsidRPr="00577043">
        <w:rPr>
          <w:rFonts w:eastAsia="Times New Roman" w:cs="Times New Roman"/>
          <w:bCs/>
          <w:color w:val="000000"/>
          <w:lang w:eastAsia="da-DK"/>
        </w:rPr>
        <w:t>som et givent forsøg</w:t>
      </w:r>
      <w:r w:rsidR="000C1AA4" w:rsidRPr="00577043">
        <w:rPr>
          <w:rFonts w:eastAsia="Times New Roman" w:cs="Times New Roman"/>
          <w:bCs/>
          <w:color w:val="000000"/>
          <w:lang w:eastAsia="da-DK"/>
        </w:rPr>
        <w:t xml:space="preserve"> ønskes gennemført i,</w:t>
      </w:r>
      <w:r w:rsidRPr="00577043">
        <w:rPr>
          <w:rFonts w:eastAsia="Times New Roman" w:cs="Times New Roman"/>
          <w:bCs/>
          <w:color w:val="000000"/>
          <w:lang w:eastAsia="da-DK"/>
        </w:rPr>
        <w:t xml:space="preserve"> udvælges til at være rapporterende medlemsstat, jf. forordningens art</w:t>
      </w:r>
      <w:r w:rsidR="004D355A">
        <w:rPr>
          <w:rFonts w:eastAsia="Times New Roman" w:cs="Times New Roman"/>
          <w:bCs/>
          <w:color w:val="000000"/>
          <w:lang w:eastAsia="da-DK"/>
        </w:rPr>
        <w:t>ikel</w:t>
      </w:r>
      <w:r w:rsidRPr="00577043">
        <w:rPr>
          <w:rFonts w:eastAsia="Times New Roman" w:cs="Times New Roman"/>
          <w:bCs/>
          <w:color w:val="000000"/>
          <w:lang w:eastAsia="da-DK"/>
        </w:rPr>
        <w:t xml:space="preserve"> 5, stk. 1. Sponsor foreslår en medlemsstat som rapporterende medlemsstat. </w:t>
      </w:r>
      <w:r w:rsidR="00DF6DC2" w:rsidRPr="00577043">
        <w:rPr>
          <w:rFonts w:eastAsia="Times New Roman" w:cs="Times New Roman"/>
          <w:bCs/>
          <w:color w:val="000000"/>
          <w:lang w:eastAsia="da-DK"/>
        </w:rPr>
        <w:t xml:space="preserve">Er en anden berørt medlemsstat end den foreslåede rapportende medlemsstat villig til at være rapporterende medlemsstat, eller ønsker den foreslåede rapporterende medlemsstat ikke at være rapporterende medlemsstat, skal dette meddeles til </w:t>
      </w:r>
      <w:r w:rsidR="000C0622" w:rsidRPr="00577043">
        <w:rPr>
          <w:rFonts w:eastAsia="Times New Roman" w:cs="Times New Roman"/>
          <w:bCs/>
          <w:color w:val="000000"/>
          <w:lang w:eastAsia="da-DK"/>
        </w:rPr>
        <w:t xml:space="preserve">alle </w:t>
      </w:r>
      <w:r w:rsidR="00DF6DC2" w:rsidRPr="00577043">
        <w:rPr>
          <w:rFonts w:eastAsia="Times New Roman" w:cs="Times New Roman"/>
          <w:bCs/>
          <w:color w:val="000000"/>
          <w:lang w:eastAsia="da-DK"/>
        </w:rPr>
        <w:t>berørte medlemsstater senest tre dage efter, at ansøgningsdossieret er indgivet.</w:t>
      </w:r>
      <w:r w:rsidR="00C510AD" w:rsidRPr="00577043">
        <w:rPr>
          <w:rFonts w:eastAsia="Times New Roman" w:cs="Times New Roman"/>
          <w:bCs/>
          <w:color w:val="000000"/>
          <w:lang w:eastAsia="da-DK"/>
        </w:rPr>
        <w:t xml:space="preserve"> Er ingen berørt medlemsstat villig til at være rapporterende medlemsstat, eller er mere end én berørt medlemsstat villig til at være rapporterende medlemsstat, udvælges den rapporterende medlemsstat ved aftale mellem de berørte medlemsstater. Er der ingen aftale mellem de berørte medlemsstater, er den foreslåede rapporterende medlemsstat den rapporterende medlemsstat.</w:t>
      </w:r>
    </w:p>
    <w:p w14:paraId="4EF73101" w14:textId="77777777" w:rsidR="00DF6DC2" w:rsidRPr="00577043" w:rsidRDefault="00DF6DC2" w:rsidP="00CB2276">
      <w:pPr>
        <w:rPr>
          <w:rFonts w:eastAsia="Times New Roman" w:cs="Times New Roman"/>
          <w:bCs/>
          <w:color w:val="000000"/>
          <w:lang w:eastAsia="da-DK"/>
        </w:rPr>
      </w:pPr>
    </w:p>
    <w:p w14:paraId="7C1FD49E" w14:textId="77777777" w:rsidR="005D1ADC" w:rsidRPr="00577043" w:rsidRDefault="002B57CE" w:rsidP="00CB2276">
      <w:pPr>
        <w:rPr>
          <w:rFonts w:eastAsia="Times New Roman" w:cs="Times New Roman"/>
          <w:bCs/>
          <w:color w:val="000000"/>
          <w:lang w:eastAsia="da-DK"/>
        </w:rPr>
      </w:pPr>
      <w:r w:rsidRPr="00577043">
        <w:rPr>
          <w:rFonts w:eastAsia="Times New Roman" w:cs="Times New Roman"/>
          <w:bCs/>
          <w:color w:val="000000"/>
          <w:lang w:eastAsia="da-DK"/>
        </w:rPr>
        <w:t xml:space="preserve">Den rapporterende medlemsstat </w:t>
      </w:r>
      <w:r w:rsidR="000C0622" w:rsidRPr="00577043">
        <w:rPr>
          <w:rFonts w:eastAsia="Times New Roman" w:cs="Times New Roman"/>
          <w:bCs/>
          <w:color w:val="000000"/>
          <w:lang w:eastAsia="da-DK"/>
        </w:rPr>
        <w:t xml:space="preserve">skal </w:t>
      </w:r>
      <w:r w:rsidRPr="00577043">
        <w:rPr>
          <w:rFonts w:eastAsia="Times New Roman" w:cs="Times New Roman"/>
          <w:bCs/>
          <w:color w:val="000000"/>
          <w:lang w:eastAsia="da-DK"/>
        </w:rPr>
        <w:t>validere e</w:t>
      </w:r>
      <w:r w:rsidR="003344DE" w:rsidRPr="00577043">
        <w:rPr>
          <w:rFonts w:eastAsia="Times New Roman" w:cs="Times New Roman"/>
          <w:bCs/>
          <w:color w:val="000000"/>
          <w:lang w:eastAsia="da-DK"/>
        </w:rPr>
        <w:t>n ansøgning</w:t>
      </w:r>
      <w:r w:rsidR="00D3625E">
        <w:rPr>
          <w:rFonts w:eastAsia="Times New Roman" w:cs="Times New Roman"/>
          <w:bCs/>
          <w:color w:val="000000"/>
          <w:lang w:eastAsia="da-DK"/>
        </w:rPr>
        <w:t xml:space="preserve">, dvs. vurdere </w:t>
      </w:r>
      <w:r w:rsidRPr="00577043">
        <w:rPr>
          <w:rFonts w:eastAsia="Times New Roman" w:cs="Times New Roman"/>
          <w:bCs/>
          <w:color w:val="000000"/>
          <w:lang w:eastAsia="da-DK"/>
        </w:rPr>
        <w:t xml:space="preserve">a) </w:t>
      </w:r>
      <w:r w:rsidR="00D3625E">
        <w:rPr>
          <w:rFonts w:eastAsia="Times New Roman" w:cs="Times New Roman"/>
          <w:bCs/>
          <w:color w:val="000000"/>
          <w:lang w:eastAsia="da-DK"/>
        </w:rPr>
        <w:t xml:space="preserve">om </w:t>
      </w:r>
      <w:r w:rsidR="003344DE" w:rsidRPr="00577043">
        <w:rPr>
          <w:rFonts w:eastAsia="Times New Roman" w:cs="Times New Roman"/>
          <w:bCs/>
          <w:color w:val="000000"/>
          <w:lang w:eastAsia="da-DK"/>
        </w:rPr>
        <w:t xml:space="preserve">det kliniske forsøg, der er ansøgt om, er omfattet af forordningen, og </w:t>
      </w:r>
      <w:r w:rsidRPr="00577043">
        <w:rPr>
          <w:rFonts w:eastAsia="Times New Roman" w:cs="Times New Roman"/>
          <w:bCs/>
          <w:color w:val="000000"/>
          <w:lang w:eastAsia="da-DK"/>
        </w:rPr>
        <w:t xml:space="preserve">b) </w:t>
      </w:r>
      <w:r w:rsidR="003344DE" w:rsidRPr="00577043">
        <w:rPr>
          <w:rFonts w:eastAsia="Times New Roman" w:cs="Times New Roman"/>
          <w:bCs/>
          <w:color w:val="000000"/>
          <w:lang w:eastAsia="da-DK"/>
        </w:rPr>
        <w:t>om ansøgningsdossieret er fuldstændigt</w:t>
      </w:r>
      <w:r w:rsidRPr="00577043">
        <w:rPr>
          <w:rFonts w:eastAsia="Times New Roman" w:cs="Times New Roman"/>
          <w:bCs/>
          <w:color w:val="000000"/>
          <w:lang w:eastAsia="da-DK"/>
        </w:rPr>
        <w:t xml:space="preserve"> i overensstemmelse med forordningens bilag b</w:t>
      </w:r>
      <w:r w:rsidR="003344DE" w:rsidRPr="00577043">
        <w:rPr>
          <w:rFonts w:eastAsia="Times New Roman" w:cs="Times New Roman"/>
          <w:bCs/>
          <w:color w:val="000000"/>
          <w:lang w:eastAsia="da-DK"/>
        </w:rPr>
        <w:t xml:space="preserve">. </w:t>
      </w:r>
      <w:r w:rsidR="003B2348" w:rsidRPr="00577043">
        <w:rPr>
          <w:rFonts w:eastAsia="Times New Roman" w:cs="Times New Roman"/>
          <w:bCs/>
          <w:color w:val="000000"/>
          <w:lang w:eastAsia="da-DK"/>
        </w:rPr>
        <w:t xml:space="preserve">En berørt medlemsstat kan meddele den rapporterende medlemsstat eventuelle overvejelser, som er relevante for </w:t>
      </w:r>
      <w:r w:rsidR="00EB2575" w:rsidRPr="00577043">
        <w:rPr>
          <w:rFonts w:eastAsia="Times New Roman" w:cs="Times New Roman"/>
          <w:bCs/>
          <w:color w:val="000000"/>
          <w:lang w:eastAsia="da-DK"/>
        </w:rPr>
        <w:t xml:space="preserve">valideringen af </w:t>
      </w:r>
      <w:r w:rsidR="003B2348" w:rsidRPr="00577043">
        <w:rPr>
          <w:rFonts w:eastAsia="Times New Roman" w:cs="Times New Roman"/>
          <w:bCs/>
          <w:color w:val="000000"/>
          <w:lang w:eastAsia="da-DK"/>
        </w:rPr>
        <w:t>ansøgningen, senest 7 dage efter indgivelsen af ansøgningsdossieret.</w:t>
      </w:r>
      <w:r w:rsidRPr="00577043">
        <w:rPr>
          <w:rFonts w:eastAsia="Times New Roman" w:cs="Times New Roman"/>
          <w:bCs/>
          <w:color w:val="000000"/>
          <w:lang w:eastAsia="da-DK"/>
        </w:rPr>
        <w:t xml:space="preserve"> </w:t>
      </w:r>
      <w:r w:rsidR="00D3625E">
        <w:rPr>
          <w:rFonts w:eastAsia="Times New Roman" w:cs="Times New Roman"/>
          <w:bCs/>
          <w:color w:val="000000"/>
          <w:lang w:eastAsia="da-DK"/>
        </w:rPr>
        <w:t xml:space="preserve">Den rapporterende medlemsstat underretter sponsor om afgørelsen </w:t>
      </w:r>
      <w:r w:rsidR="00E53C17">
        <w:rPr>
          <w:rFonts w:eastAsia="Times New Roman" w:cs="Times New Roman"/>
          <w:bCs/>
          <w:color w:val="000000"/>
          <w:lang w:eastAsia="da-DK"/>
        </w:rPr>
        <w:t>om</w:t>
      </w:r>
      <w:r w:rsidR="00D3625E">
        <w:rPr>
          <w:rFonts w:eastAsia="Times New Roman" w:cs="Times New Roman"/>
          <w:bCs/>
          <w:color w:val="000000"/>
          <w:lang w:eastAsia="da-DK"/>
        </w:rPr>
        <w:t xml:space="preserve"> valideringen.</w:t>
      </w:r>
      <w:r w:rsidR="00A41A9D">
        <w:rPr>
          <w:rFonts w:eastAsia="Times New Roman" w:cs="Times New Roman"/>
          <w:bCs/>
          <w:color w:val="000000"/>
          <w:lang w:eastAsia="da-DK"/>
        </w:rPr>
        <w:t xml:space="preserve"> </w:t>
      </w:r>
    </w:p>
    <w:p w14:paraId="6C2CA8C2" w14:textId="77777777" w:rsidR="005D1ADC" w:rsidRPr="00577043" w:rsidRDefault="005D1ADC" w:rsidP="00CB2276">
      <w:pPr>
        <w:rPr>
          <w:rFonts w:eastAsia="Times New Roman" w:cs="Times New Roman"/>
          <w:bCs/>
          <w:color w:val="000000"/>
          <w:lang w:eastAsia="da-DK"/>
        </w:rPr>
      </w:pPr>
    </w:p>
    <w:p w14:paraId="085301F5" w14:textId="77777777" w:rsidR="004171C7" w:rsidRPr="00577043" w:rsidRDefault="00317D2A" w:rsidP="004171C7">
      <w:pPr>
        <w:rPr>
          <w:rFonts w:eastAsia="Times New Roman" w:cs="Times New Roman"/>
          <w:color w:val="000000"/>
          <w:lang w:eastAsia="da-DK"/>
        </w:rPr>
      </w:pPr>
      <w:r w:rsidRPr="00577043">
        <w:rPr>
          <w:rFonts w:eastAsia="Times New Roman" w:cs="Times New Roman"/>
          <w:bCs/>
          <w:color w:val="000000"/>
          <w:lang w:eastAsia="da-DK"/>
        </w:rPr>
        <w:t xml:space="preserve">Det foreslås med § </w:t>
      </w:r>
      <w:r w:rsidR="009C3B5E">
        <w:rPr>
          <w:rFonts w:eastAsia="Times New Roman" w:cs="Times New Roman"/>
          <w:bCs/>
          <w:color w:val="000000"/>
          <w:lang w:eastAsia="da-DK"/>
        </w:rPr>
        <w:t>9</w:t>
      </w:r>
      <w:r w:rsidRPr="00577043">
        <w:rPr>
          <w:rFonts w:eastAsia="Times New Roman" w:cs="Times New Roman"/>
          <w:bCs/>
          <w:color w:val="000000"/>
          <w:lang w:eastAsia="da-DK"/>
        </w:rPr>
        <w:t xml:space="preserve">, stk. 1, at </w:t>
      </w:r>
      <w:r w:rsidR="0058651B">
        <w:rPr>
          <w:rFonts w:eastAsia="Times New Roman" w:cs="Times New Roman"/>
          <w:bCs/>
          <w:color w:val="000000"/>
          <w:lang w:eastAsia="da-DK"/>
        </w:rPr>
        <w:t>Lægemiddelstyrelsen</w:t>
      </w:r>
      <w:r w:rsidRPr="00577043">
        <w:rPr>
          <w:rFonts w:eastAsia="Times New Roman" w:cs="Times New Roman"/>
          <w:bCs/>
          <w:color w:val="000000"/>
          <w:lang w:eastAsia="da-DK"/>
        </w:rPr>
        <w:t xml:space="preserve"> og den videnskabsetiske lægemiddelkomité skal koordinere behandlingen af ansøgninger og opfølgningen på forsøg, hvilket bl.a. indebærer, at </w:t>
      </w:r>
      <w:r w:rsidR="0058651B">
        <w:rPr>
          <w:rFonts w:eastAsia="Times New Roman" w:cs="Times New Roman"/>
          <w:bCs/>
          <w:color w:val="000000"/>
          <w:lang w:eastAsia="da-DK"/>
        </w:rPr>
        <w:t>Lægemiddelstyrelsen</w:t>
      </w:r>
      <w:r w:rsidRPr="00577043">
        <w:rPr>
          <w:rFonts w:eastAsia="Times New Roman" w:cs="Times New Roman"/>
          <w:bCs/>
          <w:color w:val="000000"/>
          <w:lang w:eastAsia="da-DK"/>
        </w:rPr>
        <w:t xml:space="preserve"> og komiteen gensidigt informerer om overvejelser </w:t>
      </w:r>
      <w:r w:rsidR="00E53C17">
        <w:rPr>
          <w:rFonts w:eastAsia="Times New Roman" w:cs="Times New Roman"/>
          <w:bCs/>
          <w:color w:val="000000"/>
          <w:lang w:eastAsia="da-DK"/>
        </w:rPr>
        <w:t>om</w:t>
      </w:r>
      <w:r w:rsidRPr="00577043">
        <w:rPr>
          <w:rFonts w:eastAsia="Times New Roman" w:cs="Times New Roman"/>
          <w:bCs/>
          <w:color w:val="000000"/>
          <w:lang w:eastAsia="da-DK"/>
        </w:rPr>
        <w:t xml:space="preserve"> grundlaget for at varetage funktionen som rapporterende medlemsstat i forbindelse med en konkret ansøgning og overvejelser, som vurderes at være relevante for valideringen af ansøgningen.</w:t>
      </w:r>
      <w:r w:rsidR="0018384D" w:rsidRPr="00577043">
        <w:rPr>
          <w:rFonts w:eastAsia="Times New Roman" w:cs="Times New Roman"/>
          <w:bCs/>
          <w:color w:val="000000"/>
          <w:lang w:eastAsia="da-DK"/>
        </w:rPr>
        <w:t xml:space="preserve"> </w:t>
      </w:r>
      <w:r w:rsidR="0018384D" w:rsidRPr="00577043">
        <w:rPr>
          <w:rFonts w:eastAsia="Times New Roman" w:cs="Times New Roman"/>
          <w:color w:val="000000"/>
          <w:lang w:eastAsia="da-DK"/>
        </w:rPr>
        <w:t xml:space="preserve">Det forudsættes, at </w:t>
      </w:r>
      <w:r w:rsidR="0058651B">
        <w:rPr>
          <w:rFonts w:eastAsia="Times New Roman" w:cs="Times New Roman"/>
          <w:color w:val="000000"/>
          <w:lang w:eastAsia="da-DK"/>
        </w:rPr>
        <w:t>Lægemiddelstyrelsen</w:t>
      </w:r>
      <w:r w:rsidR="0018384D" w:rsidRPr="00577043">
        <w:rPr>
          <w:rFonts w:eastAsia="Times New Roman" w:cs="Times New Roman"/>
          <w:color w:val="000000"/>
          <w:lang w:eastAsia="da-DK"/>
        </w:rPr>
        <w:t xml:space="preserve"> og de videnskabsetiske lægemiddelkomiteer aftaler nærmere procedurer for denne koordinering.</w:t>
      </w:r>
      <w:r w:rsidR="004171C7">
        <w:rPr>
          <w:rFonts w:eastAsia="Times New Roman" w:cs="Times New Roman"/>
          <w:color w:val="000000"/>
          <w:lang w:eastAsia="da-DK"/>
        </w:rPr>
        <w:t xml:space="preserve"> Det er </w:t>
      </w:r>
      <w:r w:rsidR="0058651B">
        <w:rPr>
          <w:rFonts w:eastAsia="Times New Roman" w:cs="Times New Roman"/>
          <w:color w:val="000000"/>
          <w:lang w:eastAsia="da-DK"/>
        </w:rPr>
        <w:t>Lægemiddelstyrelsen</w:t>
      </w:r>
      <w:r w:rsidR="004171C7">
        <w:rPr>
          <w:rFonts w:eastAsia="Times New Roman" w:cs="Times New Roman"/>
          <w:color w:val="000000"/>
          <w:lang w:eastAsia="da-DK"/>
        </w:rPr>
        <w:t>, der som den kompetente lægemiddelmyndighed afgør, om forsøget kan anses for at være et lægemiddelforsøg, der falder inden for forordningens anvendelsesområde.</w:t>
      </w:r>
    </w:p>
    <w:p w14:paraId="737EC1A2" w14:textId="77777777" w:rsidR="00317D2A" w:rsidRPr="00577043" w:rsidRDefault="00317D2A" w:rsidP="005D1ADC">
      <w:pPr>
        <w:rPr>
          <w:rFonts w:eastAsia="Times New Roman" w:cs="Times New Roman"/>
          <w:bCs/>
          <w:color w:val="000000"/>
          <w:lang w:eastAsia="da-DK"/>
        </w:rPr>
      </w:pPr>
    </w:p>
    <w:p w14:paraId="60D75571" w14:textId="77777777" w:rsidR="00317D2A" w:rsidRDefault="00CD3EA6" w:rsidP="005D1ADC">
      <w:pPr>
        <w:rPr>
          <w:rFonts w:eastAsia="Times New Roman" w:cs="Times New Roman"/>
          <w:bCs/>
          <w:color w:val="000000"/>
          <w:lang w:eastAsia="da-DK"/>
        </w:rPr>
      </w:pPr>
      <w:r>
        <w:rPr>
          <w:rFonts w:eastAsia="Times New Roman" w:cs="Times New Roman"/>
          <w:bCs/>
          <w:color w:val="000000"/>
          <w:lang w:eastAsia="da-DK"/>
        </w:rPr>
        <w:t>Som nævnt i afsnit 2.2.2.</w:t>
      </w:r>
      <w:r w:rsidR="005A6199">
        <w:rPr>
          <w:rFonts w:eastAsia="Times New Roman" w:cs="Times New Roman"/>
          <w:bCs/>
          <w:color w:val="000000"/>
          <w:lang w:eastAsia="da-DK"/>
        </w:rPr>
        <w:t>2</w:t>
      </w:r>
      <w:r w:rsidR="005D1ADC" w:rsidRPr="00577043">
        <w:rPr>
          <w:rFonts w:eastAsia="Times New Roman" w:cs="Times New Roman"/>
          <w:bCs/>
          <w:color w:val="000000"/>
          <w:lang w:eastAsia="da-DK"/>
        </w:rPr>
        <w:t>. foreslås det</w:t>
      </w:r>
      <w:r w:rsidR="00E84E5D" w:rsidRPr="00577043">
        <w:rPr>
          <w:rFonts w:eastAsia="Times New Roman" w:cs="Times New Roman"/>
          <w:bCs/>
          <w:color w:val="000000"/>
          <w:lang w:eastAsia="da-DK"/>
        </w:rPr>
        <w:t xml:space="preserve"> med § </w:t>
      </w:r>
      <w:r w:rsidR="00A96714">
        <w:rPr>
          <w:rFonts w:eastAsia="Times New Roman" w:cs="Times New Roman"/>
          <w:bCs/>
          <w:color w:val="000000"/>
          <w:lang w:eastAsia="da-DK"/>
        </w:rPr>
        <w:t>13</w:t>
      </w:r>
      <w:r w:rsidR="00E84E5D" w:rsidRPr="00577043">
        <w:rPr>
          <w:rFonts w:eastAsia="Times New Roman" w:cs="Times New Roman"/>
          <w:bCs/>
          <w:color w:val="000000"/>
          <w:lang w:eastAsia="da-DK"/>
        </w:rPr>
        <w:t xml:space="preserve">, stk. </w:t>
      </w:r>
      <w:r w:rsidR="004170F4">
        <w:rPr>
          <w:rFonts w:eastAsia="Times New Roman" w:cs="Times New Roman"/>
          <w:bCs/>
          <w:color w:val="000000"/>
          <w:lang w:eastAsia="da-DK"/>
        </w:rPr>
        <w:t>2</w:t>
      </w:r>
      <w:r w:rsidR="005D1ADC" w:rsidRPr="00577043">
        <w:rPr>
          <w:rFonts w:eastAsia="Times New Roman" w:cs="Times New Roman"/>
          <w:bCs/>
          <w:color w:val="000000"/>
          <w:lang w:eastAsia="da-DK"/>
        </w:rPr>
        <w:t xml:space="preserve">, at </w:t>
      </w:r>
      <w:r w:rsidR="00A22EAD" w:rsidRPr="00577043">
        <w:rPr>
          <w:rFonts w:eastAsia="Times New Roman" w:cs="Times New Roman"/>
          <w:bCs/>
          <w:color w:val="000000"/>
          <w:lang w:eastAsia="da-DK"/>
        </w:rPr>
        <w:t>sundheds- og ældreministeren</w:t>
      </w:r>
      <w:r w:rsidR="005D1ADC" w:rsidRPr="00577043">
        <w:rPr>
          <w:rFonts w:eastAsia="Times New Roman" w:cs="Times New Roman"/>
          <w:bCs/>
          <w:color w:val="000000"/>
          <w:lang w:eastAsia="da-DK"/>
        </w:rPr>
        <w:t xml:space="preserve"> bemyndiges til at fastsætte nærmere regler om behandling</w:t>
      </w:r>
      <w:r w:rsidR="008F0FD4" w:rsidRPr="00577043">
        <w:rPr>
          <w:rFonts w:eastAsia="Times New Roman" w:cs="Times New Roman"/>
          <w:bCs/>
          <w:color w:val="000000"/>
          <w:lang w:eastAsia="da-DK"/>
        </w:rPr>
        <w:t>en</w:t>
      </w:r>
      <w:r w:rsidR="005D1ADC" w:rsidRPr="00577043">
        <w:rPr>
          <w:rFonts w:eastAsia="Times New Roman" w:cs="Times New Roman"/>
          <w:bCs/>
          <w:color w:val="000000"/>
          <w:lang w:eastAsia="da-DK"/>
        </w:rPr>
        <w:t xml:space="preserve"> af </w:t>
      </w:r>
      <w:r w:rsidR="00EB2575" w:rsidRPr="00577043">
        <w:rPr>
          <w:rFonts w:eastAsia="Times New Roman" w:cs="Times New Roman"/>
          <w:bCs/>
          <w:color w:val="000000"/>
          <w:lang w:eastAsia="da-DK"/>
        </w:rPr>
        <w:t xml:space="preserve">ansøgninger om kliniske forsøg og opfølgningen på godkendte kliniske forsøg. </w:t>
      </w:r>
      <w:r w:rsidR="001E4E7D">
        <w:rPr>
          <w:rFonts w:eastAsia="Times New Roman" w:cs="Times New Roman"/>
          <w:bCs/>
          <w:color w:val="000000"/>
          <w:lang w:eastAsia="da-DK"/>
        </w:rPr>
        <w:t>Denne hjemmel forventes bl.a. at blive beny</w:t>
      </w:r>
      <w:r w:rsidR="00CB0178">
        <w:rPr>
          <w:rFonts w:eastAsia="Times New Roman" w:cs="Times New Roman"/>
          <w:bCs/>
          <w:color w:val="000000"/>
          <w:lang w:eastAsia="da-DK"/>
        </w:rPr>
        <w:t>ttet til at fastsætte nærmere regler</w:t>
      </w:r>
      <w:r w:rsidR="001E4E7D">
        <w:rPr>
          <w:rFonts w:eastAsia="Times New Roman" w:cs="Times New Roman"/>
          <w:bCs/>
          <w:color w:val="000000"/>
          <w:lang w:eastAsia="da-DK"/>
        </w:rPr>
        <w:t xml:space="preserve"> for </w:t>
      </w:r>
      <w:r w:rsidR="00CB0178">
        <w:rPr>
          <w:rFonts w:eastAsia="Times New Roman" w:cs="Times New Roman"/>
          <w:bCs/>
          <w:color w:val="000000"/>
          <w:lang w:eastAsia="da-DK"/>
        </w:rPr>
        <w:t xml:space="preserve">procedurerne for </w:t>
      </w:r>
      <w:r w:rsidR="001E4E7D">
        <w:rPr>
          <w:rFonts w:eastAsia="Times New Roman" w:cs="Times New Roman"/>
          <w:bCs/>
          <w:color w:val="000000"/>
          <w:lang w:eastAsia="da-DK"/>
        </w:rPr>
        <w:t xml:space="preserve">samarbejdet mellem de videnskabsetiske lægemiddelkomiteer og </w:t>
      </w:r>
      <w:r w:rsidR="0058651B">
        <w:rPr>
          <w:rFonts w:eastAsia="Times New Roman" w:cs="Times New Roman"/>
          <w:bCs/>
          <w:color w:val="000000"/>
          <w:lang w:eastAsia="da-DK"/>
        </w:rPr>
        <w:t>Lægemiddelstyrelsen</w:t>
      </w:r>
      <w:r w:rsidR="001E4E7D">
        <w:rPr>
          <w:rFonts w:eastAsia="Times New Roman" w:cs="Times New Roman"/>
          <w:bCs/>
          <w:color w:val="000000"/>
          <w:lang w:eastAsia="da-DK"/>
        </w:rPr>
        <w:t>.</w:t>
      </w:r>
    </w:p>
    <w:p w14:paraId="3FF5B7FA" w14:textId="77777777" w:rsidR="00CB0178" w:rsidRPr="00577043" w:rsidRDefault="00CB0178" w:rsidP="005D1ADC">
      <w:pPr>
        <w:rPr>
          <w:rFonts w:eastAsia="Times New Roman" w:cs="Times New Roman"/>
          <w:bCs/>
          <w:color w:val="000000"/>
          <w:lang w:eastAsia="da-DK"/>
        </w:rPr>
      </w:pPr>
    </w:p>
    <w:p w14:paraId="509FC930" w14:textId="77777777" w:rsidR="005D1ADC" w:rsidRPr="00577043" w:rsidRDefault="005D1ADC" w:rsidP="005D1ADC">
      <w:pPr>
        <w:rPr>
          <w:rFonts w:eastAsia="Times New Roman" w:cs="Times New Roman"/>
          <w:bCs/>
          <w:color w:val="000000"/>
          <w:lang w:eastAsia="da-DK"/>
        </w:rPr>
      </w:pPr>
      <w:r w:rsidRPr="00577043">
        <w:rPr>
          <w:rFonts w:eastAsia="Times New Roman" w:cs="Times New Roman"/>
          <w:bCs/>
          <w:color w:val="000000"/>
          <w:lang w:eastAsia="da-DK"/>
        </w:rPr>
        <w:t xml:space="preserve">Endvidere forventes hjemlen benyttet til at fastsætte, at </w:t>
      </w:r>
      <w:r w:rsidR="0058651B">
        <w:rPr>
          <w:rFonts w:eastAsia="Times New Roman" w:cs="Times New Roman"/>
          <w:bCs/>
          <w:color w:val="000000"/>
          <w:lang w:eastAsia="da-DK"/>
        </w:rPr>
        <w:t>Lægemiddelstyrelsen</w:t>
      </w:r>
      <w:r w:rsidRPr="00577043">
        <w:rPr>
          <w:rFonts w:eastAsia="Times New Roman" w:cs="Times New Roman"/>
          <w:bCs/>
          <w:color w:val="000000"/>
          <w:lang w:eastAsia="da-DK"/>
        </w:rPr>
        <w:t xml:space="preserve"> giver meddelelse til den rapporterende medlemsstat om overvejelser</w:t>
      </w:r>
      <w:r w:rsidR="00E16E9E" w:rsidRPr="00577043">
        <w:rPr>
          <w:rFonts w:eastAsia="Times New Roman" w:cs="Times New Roman"/>
          <w:bCs/>
          <w:color w:val="000000"/>
          <w:lang w:eastAsia="da-DK"/>
        </w:rPr>
        <w:t>,</w:t>
      </w:r>
      <w:r w:rsidRPr="00577043">
        <w:rPr>
          <w:rFonts w:eastAsia="Times New Roman" w:cs="Times New Roman"/>
          <w:bCs/>
          <w:color w:val="000000"/>
          <w:lang w:eastAsia="da-DK"/>
        </w:rPr>
        <w:t xml:space="preserve"> som </w:t>
      </w:r>
      <w:r w:rsidR="00F33965" w:rsidRPr="00577043">
        <w:rPr>
          <w:rFonts w:eastAsia="Times New Roman" w:cs="Times New Roman"/>
          <w:bCs/>
          <w:color w:val="000000"/>
          <w:lang w:eastAsia="da-DK"/>
        </w:rPr>
        <w:t xml:space="preserve">vurderes at </w:t>
      </w:r>
      <w:r w:rsidR="00434E2B" w:rsidRPr="00577043">
        <w:rPr>
          <w:rFonts w:eastAsia="Times New Roman" w:cs="Times New Roman"/>
          <w:bCs/>
          <w:color w:val="000000"/>
          <w:lang w:eastAsia="da-DK"/>
        </w:rPr>
        <w:t xml:space="preserve">være </w:t>
      </w:r>
      <w:r w:rsidRPr="00577043">
        <w:rPr>
          <w:rFonts w:eastAsia="Times New Roman" w:cs="Times New Roman"/>
          <w:bCs/>
          <w:color w:val="000000"/>
          <w:lang w:eastAsia="da-DK"/>
        </w:rPr>
        <w:t>relevante for valideringen af ansøgningen</w:t>
      </w:r>
      <w:r w:rsidR="00434E2B" w:rsidRPr="00577043">
        <w:rPr>
          <w:rFonts w:eastAsia="Times New Roman" w:cs="Times New Roman"/>
          <w:bCs/>
          <w:color w:val="000000"/>
          <w:lang w:eastAsia="da-DK"/>
        </w:rPr>
        <w:t>. Meddelelsen skal indeholde</w:t>
      </w:r>
      <w:r w:rsidRPr="00577043">
        <w:rPr>
          <w:rFonts w:eastAsia="Times New Roman" w:cs="Times New Roman"/>
          <w:bCs/>
          <w:color w:val="000000"/>
          <w:lang w:eastAsia="da-DK"/>
        </w:rPr>
        <w:t xml:space="preserve"> dels overvejelser</w:t>
      </w:r>
      <w:r w:rsidR="00434E2B" w:rsidRPr="00577043">
        <w:rPr>
          <w:rFonts w:eastAsia="Times New Roman" w:cs="Times New Roman"/>
          <w:bCs/>
          <w:color w:val="000000"/>
          <w:lang w:eastAsia="da-DK"/>
        </w:rPr>
        <w:t>,</w:t>
      </w:r>
      <w:r w:rsidRPr="00577043">
        <w:rPr>
          <w:rFonts w:eastAsia="Times New Roman" w:cs="Times New Roman"/>
          <w:bCs/>
          <w:color w:val="000000"/>
          <w:lang w:eastAsia="da-DK"/>
        </w:rPr>
        <w:t xml:space="preserve"> som </w:t>
      </w:r>
      <w:r w:rsidR="0058651B">
        <w:rPr>
          <w:rFonts w:eastAsia="Times New Roman" w:cs="Times New Roman"/>
          <w:bCs/>
          <w:color w:val="000000"/>
          <w:lang w:eastAsia="da-DK"/>
        </w:rPr>
        <w:t>Lægemiddelstyrelsen</w:t>
      </w:r>
      <w:r w:rsidR="00434E2B" w:rsidRPr="00577043">
        <w:rPr>
          <w:rFonts w:eastAsia="Times New Roman" w:cs="Times New Roman"/>
          <w:bCs/>
          <w:color w:val="000000"/>
          <w:lang w:eastAsia="da-DK"/>
        </w:rPr>
        <w:t xml:space="preserve"> vurderer, er relevante for ansøgningen, dels overvejelser, som </w:t>
      </w:r>
      <w:r w:rsidRPr="00577043">
        <w:rPr>
          <w:rFonts w:eastAsia="Times New Roman" w:cs="Times New Roman"/>
          <w:bCs/>
          <w:color w:val="000000"/>
          <w:lang w:eastAsia="da-DK"/>
        </w:rPr>
        <w:t>den videnskabsetiske komité vurderer, er relevante for valideringen af ansøgningen, jf. forordningens art</w:t>
      </w:r>
      <w:r w:rsidR="004D355A">
        <w:rPr>
          <w:rFonts w:eastAsia="Times New Roman" w:cs="Times New Roman"/>
          <w:bCs/>
          <w:color w:val="000000"/>
          <w:lang w:eastAsia="da-DK"/>
        </w:rPr>
        <w:t>ikel</w:t>
      </w:r>
      <w:r w:rsidRPr="00577043">
        <w:rPr>
          <w:rFonts w:eastAsia="Times New Roman" w:cs="Times New Roman"/>
          <w:bCs/>
          <w:color w:val="000000"/>
          <w:lang w:eastAsia="da-DK"/>
        </w:rPr>
        <w:t xml:space="preserve"> 5, stk. 3.</w:t>
      </w:r>
      <w:r w:rsidR="000A2D5F" w:rsidRPr="00577043">
        <w:rPr>
          <w:rFonts w:eastAsia="Times New Roman" w:cs="Times New Roman"/>
          <w:bCs/>
          <w:color w:val="000000"/>
          <w:lang w:eastAsia="da-DK"/>
        </w:rPr>
        <w:t xml:space="preserve"> </w:t>
      </w:r>
    </w:p>
    <w:p w14:paraId="1CF60856" w14:textId="77777777" w:rsidR="005D1ADC" w:rsidRPr="00577043" w:rsidRDefault="005D1ADC" w:rsidP="00CB2276">
      <w:pPr>
        <w:rPr>
          <w:rFonts w:eastAsia="Times New Roman" w:cs="Times New Roman"/>
          <w:bCs/>
          <w:color w:val="000000"/>
          <w:lang w:eastAsia="da-DK"/>
        </w:rPr>
      </w:pPr>
    </w:p>
    <w:p w14:paraId="25AA932D" w14:textId="77777777" w:rsidR="00695F24" w:rsidRPr="00577043" w:rsidRDefault="002B57CE" w:rsidP="00695F24">
      <w:pPr>
        <w:rPr>
          <w:rFonts w:eastAsia="Times New Roman" w:cs="Times New Roman"/>
          <w:bCs/>
          <w:color w:val="000000"/>
          <w:lang w:eastAsia="da-DK"/>
        </w:rPr>
      </w:pPr>
      <w:r w:rsidRPr="00577043">
        <w:rPr>
          <w:rFonts w:eastAsia="Times New Roman" w:cs="Times New Roman"/>
          <w:bCs/>
          <w:color w:val="000000"/>
          <w:lang w:eastAsia="da-DK"/>
        </w:rPr>
        <w:t>Rapporterende medlemsstat skal senest 10 dage efter indgivelsen af ansøgningsdossieret underrette sponsor om valideringen.</w:t>
      </w:r>
      <w:r w:rsidR="00695F24">
        <w:rPr>
          <w:rFonts w:eastAsia="Times New Roman" w:cs="Times New Roman"/>
          <w:bCs/>
          <w:color w:val="000000"/>
          <w:lang w:eastAsia="da-DK"/>
        </w:rPr>
        <w:t xml:space="preserve"> Hvis den rapporterende medlemsstat ikke underretter sponsor indenfor fristen anses ansøgningen for valid. </w:t>
      </w:r>
    </w:p>
    <w:p w14:paraId="1BDCE736" w14:textId="77777777" w:rsidR="005D1ADC" w:rsidRPr="00577043" w:rsidRDefault="005D1ADC" w:rsidP="00CB2276">
      <w:pPr>
        <w:rPr>
          <w:rFonts w:eastAsia="Times New Roman" w:cs="Times New Roman"/>
          <w:bCs/>
          <w:color w:val="000000"/>
          <w:lang w:eastAsia="da-DK"/>
        </w:rPr>
      </w:pPr>
    </w:p>
    <w:p w14:paraId="049ECF7F" w14:textId="77777777" w:rsidR="005D1ADC" w:rsidRPr="00577043" w:rsidRDefault="00E85AB0" w:rsidP="005D1ADC">
      <w:pPr>
        <w:pStyle w:val="Overskrift5"/>
        <w:rPr>
          <w:rFonts w:eastAsia="Times New Roman"/>
          <w:lang w:eastAsia="da-DK"/>
        </w:rPr>
      </w:pPr>
      <w:r w:rsidRPr="00577043">
        <w:rPr>
          <w:rFonts w:eastAsia="Times New Roman"/>
          <w:lang w:eastAsia="da-DK"/>
        </w:rPr>
        <w:lastRenderedPageBreak/>
        <w:t>2.</w:t>
      </w:r>
      <w:r w:rsidR="001511E7" w:rsidRPr="00577043">
        <w:rPr>
          <w:rFonts w:eastAsia="Times New Roman"/>
          <w:lang w:eastAsia="da-DK"/>
        </w:rPr>
        <w:t>2</w:t>
      </w:r>
      <w:r w:rsidRPr="00577043">
        <w:rPr>
          <w:rFonts w:eastAsia="Times New Roman"/>
          <w:lang w:eastAsia="da-DK"/>
        </w:rPr>
        <w:t>.</w:t>
      </w:r>
      <w:r w:rsidR="005F14CA" w:rsidRPr="00577043">
        <w:rPr>
          <w:rFonts w:eastAsia="Times New Roman"/>
          <w:lang w:eastAsia="da-DK"/>
        </w:rPr>
        <w:t>2</w:t>
      </w:r>
      <w:r w:rsidRPr="00577043">
        <w:rPr>
          <w:rFonts w:eastAsia="Times New Roman"/>
          <w:lang w:eastAsia="da-DK"/>
        </w:rPr>
        <w:t>.</w:t>
      </w:r>
      <w:r w:rsidR="005F14CA" w:rsidRPr="00577043">
        <w:rPr>
          <w:rFonts w:eastAsia="Times New Roman"/>
          <w:lang w:eastAsia="da-DK"/>
        </w:rPr>
        <w:t>4.</w:t>
      </w:r>
      <w:r w:rsidRPr="00577043">
        <w:rPr>
          <w:rFonts w:eastAsia="Times New Roman"/>
          <w:lang w:eastAsia="da-DK"/>
        </w:rPr>
        <w:t xml:space="preserve"> </w:t>
      </w:r>
      <w:r w:rsidR="001E7B9A" w:rsidRPr="00577043">
        <w:rPr>
          <w:rFonts w:eastAsia="Times New Roman"/>
          <w:lang w:eastAsia="da-DK"/>
        </w:rPr>
        <w:t>V</w:t>
      </w:r>
      <w:r w:rsidR="005D1ADC" w:rsidRPr="00577043">
        <w:rPr>
          <w:rFonts w:eastAsia="Times New Roman"/>
          <w:lang w:eastAsia="da-DK"/>
        </w:rPr>
        <w:t>urderingsrapportens del I</w:t>
      </w:r>
      <w:r w:rsidR="00EB2575" w:rsidRPr="00577043">
        <w:rPr>
          <w:rFonts w:eastAsia="Times New Roman"/>
          <w:lang w:eastAsia="da-DK"/>
        </w:rPr>
        <w:t xml:space="preserve"> (Danmark er </w:t>
      </w:r>
      <w:r w:rsidR="003F2F84">
        <w:rPr>
          <w:rFonts w:eastAsia="Times New Roman"/>
          <w:lang w:eastAsia="da-DK"/>
        </w:rPr>
        <w:t xml:space="preserve">alene </w:t>
      </w:r>
      <w:r w:rsidR="00EB2575" w:rsidRPr="00577043">
        <w:rPr>
          <w:rFonts w:eastAsia="Times New Roman"/>
          <w:lang w:eastAsia="da-DK"/>
        </w:rPr>
        <w:t>berørt medlemsstat)</w:t>
      </w:r>
      <w:r w:rsidR="005D1ADC" w:rsidRPr="00577043">
        <w:rPr>
          <w:rFonts w:eastAsia="Times New Roman"/>
          <w:lang w:eastAsia="da-DK"/>
        </w:rPr>
        <w:t xml:space="preserve">   </w:t>
      </w:r>
    </w:p>
    <w:p w14:paraId="5B8AFC8C" w14:textId="77777777" w:rsidR="005924A6" w:rsidRPr="00577043" w:rsidRDefault="002B57CE" w:rsidP="00CB2276">
      <w:pPr>
        <w:rPr>
          <w:rFonts w:eastAsia="Times New Roman" w:cs="Times New Roman"/>
          <w:bCs/>
          <w:color w:val="000000"/>
          <w:lang w:eastAsia="da-DK"/>
        </w:rPr>
      </w:pPr>
      <w:r w:rsidRPr="00577043">
        <w:rPr>
          <w:rFonts w:eastAsia="Times New Roman" w:cs="Times New Roman"/>
          <w:bCs/>
          <w:color w:val="000000"/>
          <w:lang w:eastAsia="da-DK"/>
        </w:rPr>
        <w:t>Når et klinisk forsøg involverer mere end én medlemsstat, omfatter processen for udar</w:t>
      </w:r>
      <w:r w:rsidR="00000620" w:rsidRPr="00577043">
        <w:rPr>
          <w:rFonts w:eastAsia="Times New Roman" w:cs="Times New Roman"/>
          <w:bCs/>
          <w:color w:val="000000"/>
          <w:lang w:eastAsia="da-DK"/>
        </w:rPr>
        <w:t>bejdelsen af del I af vurderingsrapport</w:t>
      </w:r>
      <w:r w:rsidR="00D6556A" w:rsidRPr="00577043">
        <w:rPr>
          <w:rFonts w:eastAsia="Times New Roman" w:cs="Times New Roman"/>
          <w:bCs/>
          <w:color w:val="000000"/>
          <w:lang w:eastAsia="da-DK"/>
        </w:rPr>
        <w:t>en</w:t>
      </w:r>
      <w:r w:rsidR="00000620" w:rsidRPr="00577043">
        <w:rPr>
          <w:rFonts w:eastAsia="Times New Roman" w:cs="Times New Roman"/>
          <w:bCs/>
          <w:color w:val="000000"/>
          <w:lang w:eastAsia="da-DK"/>
        </w:rPr>
        <w:t xml:space="preserve"> </w:t>
      </w:r>
      <w:r w:rsidR="001F248C" w:rsidRPr="00577043">
        <w:rPr>
          <w:rFonts w:eastAsia="Times New Roman" w:cs="Times New Roman"/>
          <w:bCs/>
          <w:color w:val="000000"/>
          <w:lang w:eastAsia="da-DK"/>
        </w:rPr>
        <w:t>følgende faser:</w:t>
      </w:r>
    </w:p>
    <w:p w14:paraId="7E0776A6" w14:textId="77777777" w:rsidR="00AB0510" w:rsidRPr="00577043" w:rsidRDefault="00AB0510" w:rsidP="00CB2276">
      <w:pPr>
        <w:rPr>
          <w:rFonts w:eastAsia="Times New Roman" w:cs="Times New Roman"/>
          <w:bCs/>
          <w:color w:val="000000"/>
          <w:lang w:eastAsia="da-DK"/>
        </w:rPr>
      </w:pPr>
    </w:p>
    <w:p w14:paraId="7F5FBECE" w14:textId="77777777" w:rsidR="00AB0510" w:rsidRPr="00577043" w:rsidRDefault="003F13B3" w:rsidP="00CB2276">
      <w:pPr>
        <w:numPr>
          <w:ilvl w:val="0"/>
          <w:numId w:val="15"/>
        </w:numPr>
        <w:rPr>
          <w:rFonts w:eastAsia="Times New Roman" w:cs="Times New Roman"/>
          <w:bCs/>
          <w:color w:val="000000"/>
          <w:lang w:eastAsia="da-DK"/>
        </w:rPr>
      </w:pPr>
      <w:r w:rsidRPr="00577043">
        <w:rPr>
          <w:rFonts w:eastAsia="Times New Roman" w:cs="Times New Roman"/>
          <w:bCs/>
          <w:i/>
          <w:color w:val="000000"/>
          <w:lang w:eastAsia="da-DK"/>
        </w:rPr>
        <w:t>Indledende vurdering</w:t>
      </w:r>
      <w:r w:rsidR="00AB0510" w:rsidRPr="00577043">
        <w:rPr>
          <w:rFonts w:eastAsia="Times New Roman" w:cs="Times New Roman"/>
          <w:bCs/>
          <w:i/>
          <w:color w:val="000000"/>
          <w:lang w:eastAsia="da-DK"/>
        </w:rPr>
        <w:t xml:space="preserve">sfase: </w:t>
      </w:r>
      <w:r w:rsidR="00CD5B48" w:rsidRPr="00577043">
        <w:rPr>
          <w:rFonts w:eastAsia="Times New Roman" w:cs="Times New Roman"/>
          <w:bCs/>
          <w:color w:val="000000"/>
          <w:lang w:eastAsia="da-DK"/>
        </w:rPr>
        <w:t>Den rapporterende medlemsstat udarbejder et udkast til vurderingsrapport – del I, som rundsendes til de øvrige berørte medlemsstater</w:t>
      </w:r>
      <w:r w:rsidR="005E0E8D">
        <w:rPr>
          <w:rFonts w:eastAsia="Times New Roman" w:cs="Times New Roman"/>
          <w:bCs/>
          <w:color w:val="000000"/>
          <w:lang w:eastAsia="da-DK"/>
        </w:rPr>
        <w:t xml:space="preserve"> indenfor 26 dage efter ansøgningen er erklæret valid </w:t>
      </w:r>
      <w:r w:rsidR="00CD5B48" w:rsidRPr="00577043">
        <w:rPr>
          <w:rFonts w:eastAsia="Times New Roman" w:cs="Times New Roman"/>
          <w:bCs/>
          <w:color w:val="000000"/>
          <w:lang w:eastAsia="da-DK"/>
        </w:rPr>
        <w:t>.</w:t>
      </w:r>
      <w:r w:rsidR="00AB0510" w:rsidRPr="00577043">
        <w:rPr>
          <w:rFonts w:eastAsia="Times New Roman" w:cs="Times New Roman"/>
          <w:bCs/>
          <w:color w:val="000000"/>
          <w:lang w:eastAsia="da-DK"/>
        </w:rPr>
        <w:t xml:space="preserve"> </w:t>
      </w:r>
    </w:p>
    <w:p w14:paraId="1727D275" w14:textId="77777777" w:rsidR="00AB0510" w:rsidRPr="00577043" w:rsidRDefault="00AB0510" w:rsidP="00CB2276">
      <w:pPr>
        <w:rPr>
          <w:rFonts w:eastAsia="Times New Roman" w:cs="Times New Roman"/>
          <w:bCs/>
          <w:color w:val="000000"/>
          <w:lang w:eastAsia="da-DK"/>
        </w:rPr>
      </w:pPr>
    </w:p>
    <w:p w14:paraId="6DC1A273" w14:textId="77777777" w:rsidR="00760297" w:rsidRPr="00577043" w:rsidRDefault="00AB0510" w:rsidP="00760297">
      <w:pPr>
        <w:numPr>
          <w:ilvl w:val="0"/>
          <w:numId w:val="15"/>
        </w:numPr>
        <w:rPr>
          <w:rFonts w:eastAsia="Times New Roman" w:cs="Times New Roman"/>
          <w:bCs/>
          <w:color w:val="000000"/>
          <w:lang w:eastAsia="da-DK"/>
        </w:rPr>
      </w:pPr>
      <w:r w:rsidRPr="00577043">
        <w:rPr>
          <w:rFonts w:eastAsia="Times New Roman" w:cs="Times New Roman"/>
          <w:bCs/>
          <w:i/>
          <w:color w:val="000000"/>
          <w:lang w:eastAsia="da-DK"/>
        </w:rPr>
        <w:t>Koordineret revisionsfase</w:t>
      </w:r>
      <w:r w:rsidRPr="00577043">
        <w:rPr>
          <w:rFonts w:eastAsia="Times New Roman" w:cs="Times New Roman"/>
          <w:bCs/>
          <w:color w:val="000000"/>
          <w:lang w:eastAsia="da-DK"/>
        </w:rPr>
        <w:t xml:space="preserve">: </w:t>
      </w:r>
      <w:r w:rsidR="00A21C5D" w:rsidRPr="00577043">
        <w:rPr>
          <w:rFonts w:eastAsia="Times New Roman" w:cs="Times New Roman"/>
          <w:bCs/>
          <w:color w:val="000000"/>
          <w:lang w:eastAsia="da-DK"/>
        </w:rPr>
        <w:t>Hver enkelt berørt</w:t>
      </w:r>
      <w:r w:rsidR="00760297" w:rsidRPr="00577043">
        <w:rPr>
          <w:rFonts w:eastAsia="Times New Roman" w:cs="Times New Roman"/>
          <w:bCs/>
          <w:color w:val="000000"/>
          <w:lang w:eastAsia="da-DK"/>
        </w:rPr>
        <w:t xml:space="preserve"> medlemsstat </w:t>
      </w:r>
      <w:r w:rsidR="00A21C5D" w:rsidRPr="00577043">
        <w:rPr>
          <w:rFonts w:eastAsia="Times New Roman" w:cs="Times New Roman"/>
          <w:bCs/>
          <w:color w:val="000000"/>
          <w:lang w:eastAsia="da-DK"/>
        </w:rPr>
        <w:t xml:space="preserve">vurderer derefter </w:t>
      </w:r>
      <w:r w:rsidR="00760297" w:rsidRPr="00577043">
        <w:rPr>
          <w:rFonts w:eastAsia="Times New Roman" w:cs="Times New Roman"/>
          <w:bCs/>
          <w:color w:val="000000"/>
          <w:lang w:eastAsia="da-DK"/>
        </w:rPr>
        <w:t>ansøgningen</w:t>
      </w:r>
      <w:r w:rsidR="00A21C5D" w:rsidRPr="00577043">
        <w:rPr>
          <w:rFonts w:eastAsia="Times New Roman" w:cs="Times New Roman"/>
          <w:bCs/>
          <w:color w:val="000000"/>
          <w:lang w:eastAsia="da-DK"/>
        </w:rPr>
        <w:t xml:space="preserve"> på baggrund af den rapporterende medlemsstats udkast til vurderingsrapport del I</w:t>
      </w:r>
      <w:r w:rsidR="00CD5B48" w:rsidRPr="00577043">
        <w:rPr>
          <w:rFonts w:eastAsia="Times New Roman" w:cs="Times New Roman"/>
          <w:bCs/>
          <w:color w:val="000000"/>
          <w:lang w:eastAsia="da-DK"/>
        </w:rPr>
        <w:t xml:space="preserve"> og deler alle overvejelser, der er relevante for ansøgningen</w:t>
      </w:r>
      <w:r w:rsidR="00760297" w:rsidRPr="00577043">
        <w:rPr>
          <w:rFonts w:eastAsia="Times New Roman" w:cs="Times New Roman"/>
          <w:bCs/>
          <w:color w:val="000000"/>
          <w:lang w:eastAsia="da-DK"/>
        </w:rPr>
        <w:t xml:space="preserve">. De berørte medlemsstater skal foretage denne vurdering </w:t>
      </w:r>
      <w:r w:rsidR="007D70C4" w:rsidRPr="00577043">
        <w:rPr>
          <w:rFonts w:eastAsia="Times New Roman" w:cs="Times New Roman"/>
          <w:bCs/>
          <w:color w:val="000000"/>
          <w:lang w:eastAsia="da-DK"/>
        </w:rPr>
        <w:t xml:space="preserve">og dele deres overvejelser </w:t>
      </w:r>
      <w:r w:rsidR="00760297" w:rsidRPr="00577043">
        <w:rPr>
          <w:rFonts w:eastAsia="Times New Roman" w:cs="Times New Roman"/>
          <w:bCs/>
          <w:color w:val="000000"/>
          <w:lang w:eastAsia="da-DK"/>
        </w:rPr>
        <w:t>inden</w:t>
      </w:r>
      <w:r w:rsidR="00805AFB" w:rsidRPr="00577043">
        <w:rPr>
          <w:rFonts w:eastAsia="Times New Roman" w:cs="Times New Roman"/>
          <w:bCs/>
          <w:color w:val="000000"/>
          <w:lang w:eastAsia="da-DK"/>
        </w:rPr>
        <w:t>for</w:t>
      </w:r>
      <w:r w:rsidR="00760297" w:rsidRPr="00577043">
        <w:rPr>
          <w:rFonts w:eastAsia="Times New Roman" w:cs="Times New Roman"/>
          <w:bCs/>
          <w:color w:val="000000"/>
          <w:lang w:eastAsia="da-DK"/>
        </w:rPr>
        <w:t xml:space="preserve"> 12 dage. </w:t>
      </w:r>
    </w:p>
    <w:p w14:paraId="38820EB6" w14:textId="77777777" w:rsidR="00760297" w:rsidRPr="00577043" w:rsidRDefault="00760297" w:rsidP="00760297">
      <w:pPr>
        <w:rPr>
          <w:rFonts w:eastAsia="Times New Roman" w:cs="Times New Roman"/>
          <w:bCs/>
          <w:color w:val="000000"/>
          <w:lang w:eastAsia="da-DK"/>
        </w:rPr>
      </w:pPr>
    </w:p>
    <w:p w14:paraId="707B3C8C" w14:textId="77777777" w:rsidR="00640F36" w:rsidRPr="00577043" w:rsidRDefault="006B3B1D" w:rsidP="00CB2276">
      <w:pPr>
        <w:numPr>
          <w:ilvl w:val="0"/>
          <w:numId w:val="15"/>
        </w:numPr>
        <w:rPr>
          <w:rFonts w:eastAsia="Times New Roman" w:cs="Times New Roman"/>
          <w:bCs/>
          <w:color w:val="000000"/>
          <w:lang w:eastAsia="da-DK"/>
        </w:rPr>
      </w:pPr>
      <w:r w:rsidRPr="00577043">
        <w:rPr>
          <w:rFonts w:eastAsia="Times New Roman" w:cs="Times New Roman"/>
          <w:bCs/>
          <w:i/>
          <w:color w:val="000000"/>
          <w:lang w:eastAsia="da-DK"/>
        </w:rPr>
        <w:t>Konsolideringsfase</w:t>
      </w:r>
      <w:r w:rsidR="008E4197" w:rsidRPr="00577043">
        <w:rPr>
          <w:rFonts w:eastAsia="Times New Roman" w:cs="Times New Roman"/>
          <w:bCs/>
          <w:i/>
          <w:color w:val="000000"/>
          <w:lang w:eastAsia="da-DK"/>
        </w:rPr>
        <w:t xml:space="preserve">: </w:t>
      </w:r>
      <w:r w:rsidR="008E4197" w:rsidRPr="00577043">
        <w:rPr>
          <w:rFonts w:eastAsia="Times New Roman" w:cs="Times New Roman"/>
          <w:bCs/>
          <w:color w:val="000000"/>
          <w:lang w:eastAsia="da-DK"/>
        </w:rPr>
        <w:t xml:space="preserve">Den rapporterende medlemsstat udarbejder </w:t>
      </w:r>
      <w:r w:rsidR="00844D7A" w:rsidRPr="00577043">
        <w:rPr>
          <w:rFonts w:eastAsia="Times New Roman" w:cs="Times New Roman"/>
          <w:bCs/>
          <w:color w:val="000000"/>
          <w:lang w:eastAsia="da-DK"/>
        </w:rPr>
        <w:t>en endelig vurderingsrapport – del I</w:t>
      </w:r>
      <w:r w:rsidR="007D70C4" w:rsidRPr="00577043">
        <w:rPr>
          <w:rFonts w:eastAsia="Times New Roman" w:cs="Times New Roman"/>
          <w:bCs/>
          <w:color w:val="000000"/>
          <w:lang w:eastAsia="da-DK"/>
        </w:rPr>
        <w:t xml:space="preserve">. </w:t>
      </w:r>
      <w:r w:rsidR="00640F36" w:rsidRPr="00577043">
        <w:rPr>
          <w:rFonts w:eastAsia="Times New Roman" w:cs="Times New Roman"/>
          <w:bCs/>
          <w:color w:val="000000"/>
          <w:lang w:eastAsia="da-DK"/>
        </w:rPr>
        <w:t>Under konsolideringsfasen tager den rapporterende medlemsstat i forbindelse med færdiggørelsen af vurderingsrapportens del I behørigt hensyn til de øvrige berørte medlemsstaters overvejelser og registrerer, hvorledes alle sådanne overvejelser er blevet behandlet</w:t>
      </w:r>
      <w:r w:rsidR="00CD5B48" w:rsidRPr="00577043">
        <w:rPr>
          <w:rFonts w:eastAsia="Times New Roman" w:cs="Times New Roman"/>
          <w:bCs/>
          <w:color w:val="000000"/>
          <w:lang w:eastAsia="da-DK"/>
        </w:rPr>
        <w:t>. Konsolideringsfasen skal gennemføres senest 7 dage efter afslutningen af</w:t>
      </w:r>
      <w:r w:rsidR="0044602E" w:rsidRPr="00577043">
        <w:rPr>
          <w:rFonts w:eastAsia="Times New Roman" w:cs="Times New Roman"/>
          <w:bCs/>
          <w:color w:val="000000"/>
          <w:lang w:eastAsia="da-DK"/>
        </w:rPr>
        <w:t xml:space="preserve"> den koordinerede revisionsfase. Den rapporterende medlemsstat forelægger derefter den endelige del I af vurderingsrapporten for sponsor og de øvrige berørte medlemsstater.</w:t>
      </w:r>
    </w:p>
    <w:p w14:paraId="42CEBE4C" w14:textId="77777777" w:rsidR="00640F36" w:rsidRPr="00577043" w:rsidRDefault="00640F36" w:rsidP="00640F36">
      <w:pPr>
        <w:ind w:firstLine="720"/>
        <w:rPr>
          <w:rFonts w:eastAsia="Times New Roman" w:cs="Times New Roman"/>
          <w:bCs/>
          <w:color w:val="000000"/>
          <w:lang w:eastAsia="da-DK"/>
        </w:rPr>
      </w:pPr>
    </w:p>
    <w:p w14:paraId="106731C5" w14:textId="77777777" w:rsidR="00665C85" w:rsidRPr="00577043" w:rsidRDefault="00665C85" w:rsidP="00665C85">
      <w:pPr>
        <w:rPr>
          <w:rFonts w:eastAsia="Times New Roman" w:cs="Times New Roman"/>
          <w:bCs/>
          <w:color w:val="000000"/>
          <w:lang w:eastAsia="da-DK"/>
        </w:rPr>
      </w:pPr>
      <w:r w:rsidRPr="00577043">
        <w:rPr>
          <w:rFonts w:eastAsia="Times New Roman" w:cs="Times New Roman"/>
          <w:bCs/>
          <w:color w:val="000000"/>
          <w:lang w:eastAsia="da-DK"/>
        </w:rPr>
        <w:t xml:space="preserve">Mellem valideringsdatoen og </w:t>
      </w:r>
      <w:r w:rsidR="0044602E" w:rsidRPr="00577043">
        <w:rPr>
          <w:rFonts w:eastAsia="Times New Roman" w:cs="Times New Roman"/>
          <w:bCs/>
          <w:color w:val="000000"/>
          <w:lang w:eastAsia="da-DK"/>
        </w:rPr>
        <w:t xml:space="preserve">forelæggelsen af den endelige del I af vurderingsrapporten </w:t>
      </w:r>
      <w:r w:rsidR="00325F5E" w:rsidRPr="00577043">
        <w:rPr>
          <w:rFonts w:eastAsia="Times New Roman" w:cs="Times New Roman"/>
          <w:bCs/>
          <w:color w:val="000000"/>
          <w:lang w:eastAsia="da-DK"/>
        </w:rPr>
        <w:t xml:space="preserve">(rapporteringsdatoen) </w:t>
      </w:r>
      <w:r w:rsidRPr="00577043">
        <w:rPr>
          <w:rFonts w:eastAsia="Times New Roman" w:cs="Times New Roman"/>
          <w:bCs/>
          <w:color w:val="000000"/>
          <w:lang w:eastAsia="da-DK"/>
        </w:rPr>
        <w:t xml:space="preserve">kan den rapporterende medlemsstat </w:t>
      </w:r>
      <w:r w:rsidR="00E14208" w:rsidRPr="00577043">
        <w:rPr>
          <w:rFonts w:eastAsia="Times New Roman" w:cs="Times New Roman"/>
          <w:bCs/>
          <w:color w:val="000000"/>
          <w:lang w:eastAsia="da-DK"/>
        </w:rPr>
        <w:t xml:space="preserve">- </w:t>
      </w:r>
      <w:r w:rsidR="00AE4B0E" w:rsidRPr="00577043">
        <w:rPr>
          <w:rFonts w:eastAsia="Times New Roman" w:cs="Times New Roman"/>
          <w:bCs/>
          <w:color w:val="000000"/>
          <w:lang w:eastAsia="da-DK"/>
        </w:rPr>
        <w:t xml:space="preserve">under hensyntagen til de i pkt. 2 nævnte overvejelser fra de øvrige berørte medlemsstater </w:t>
      </w:r>
      <w:r w:rsidR="00E14208" w:rsidRPr="00577043">
        <w:rPr>
          <w:rFonts w:eastAsia="Times New Roman" w:cs="Times New Roman"/>
          <w:bCs/>
          <w:color w:val="000000"/>
          <w:lang w:eastAsia="da-DK"/>
        </w:rPr>
        <w:t xml:space="preserve">- </w:t>
      </w:r>
      <w:r w:rsidRPr="00577043">
        <w:rPr>
          <w:rFonts w:eastAsia="Times New Roman" w:cs="Times New Roman"/>
          <w:bCs/>
          <w:color w:val="000000"/>
          <w:lang w:eastAsia="da-DK"/>
        </w:rPr>
        <w:t xml:space="preserve">anmode sponsor om supplerende oplysninger under hensyntagen til overvejelser fra de berørte medlemsstater. </w:t>
      </w:r>
      <w:r w:rsidR="00CB725B" w:rsidRPr="00577043">
        <w:rPr>
          <w:rFonts w:eastAsia="Times New Roman" w:cs="Times New Roman"/>
          <w:bCs/>
          <w:color w:val="000000"/>
          <w:lang w:eastAsia="da-DK"/>
        </w:rPr>
        <w:t xml:space="preserve">De berørte medlemsstater og den rapporterende medlemsstat skal herefter i fællesskab vurdere de supplerende oplysninger og dele eventuelle overvejelser, som er relevante for ansøgningen. Den koordinerede revision skal foretages inden for højst 12 dage efter modtagelsen af de supplerende oplysninger.  </w:t>
      </w:r>
      <w:r w:rsidR="00EB4401" w:rsidRPr="00577043">
        <w:rPr>
          <w:rFonts w:eastAsia="Times New Roman" w:cs="Times New Roman"/>
          <w:bCs/>
          <w:color w:val="000000"/>
          <w:lang w:eastAsia="da-DK"/>
        </w:rPr>
        <w:t>Den rapporterende</w:t>
      </w:r>
      <w:r w:rsidRPr="00577043">
        <w:rPr>
          <w:rFonts w:eastAsia="Times New Roman" w:cs="Times New Roman"/>
          <w:bCs/>
          <w:color w:val="000000"/>
          <w:lang w:eastAsia="da-DK"/>
        </w:rPr>
        <w:t xml:space="preserve"> medlemsstat </w:t>
      </w:r>
      <w:r w:rsidR="00CB725B" w:rsidRPr="00577043">
        <w:rPr>
          <w:rFonts w:eastAsia="Times New Roman" w:cs="Times New Roman"/>
          <w:bCs/>
          <w:color w:val="000000"/>
          <w:lang w:eastAsia="da-DK"/>
        </w:rPr>
        <w:t>skal herefter foretage en yderligere konsolidering inden for 7 dage.</w:t>
      </w:r>
      <w:r w:rsidRPr="00577043">
        <w:rPr>
          <w:rFonts w:eastAsia="Times New Roman" w:cs="Times New Roman"/>
          <w:bCs/>
          <w:color w:val="000000"/>
          <w:lang w:eastAsia="da-DK"/>
        </w:rPr>
        <w:t xml:space="preserve"> Den rapporterende medlemsstat kan med henblik på indhentning og vurdering af supplerende oplysninger fra sponsor forlænge fristen for forelæggelsen af den endelige del I af vurderingsrapporten for de øvrige berørte medlemsstater med højst 31 dage.</w:t>
      </w:r>
    </w:p>
    <w:p w14:paraId="61ED02F8" w14:textId="77777777" w:rsidR="00CD5B48" w:rsidRPr="00577043" w:rsidRDefault="00CD5B48" w:rsidP="00665C85">
      <w:pPr>
        <w:rPr>
          <w:rFonts w:eastAsia="Times New Roman" w:cs="Times New Roman"/>
          <w:bCs/>
          <w:color w:val="000000"/>
          <w:lang w:eastAsia="da-DK"/>
        </w:rPr>
      </w:pPr>
    </w:p>
    <w:p w14:paraId="5C97CAF8" w14:textId="77777777" w:rsidR="00E0528E" w:rsidRPr="00577043" w:rsidRDefault="00E0528E" w:rsidP="002F6452">
      <w:pPr>
        <w:rPr>
          <w:rFonts w:eastAsia="Times New Roman" w:cs="Times New Roman"/>
          <w:bCs/>
          <w:color w:val="000000"/>
          <w:lang w:eastAsia="da-DK"/>
        </w:rPr>
      </w:pPr>
      <w:r w:rsidRPr="00577043">
        <w:rPr>
          <w:rFonts w:eastAsia="Times New Roman" w:cs="Times New Roman"/>
          <w:bCs/>
          <w:color w:val="000000"/>
          <w:lang w:eastAsia="da-DK"/>
        </w:rPr>
        <w:t>Vurderingsrapporten</w:t>
      </w:r>
      <w:r w:rsidR="00665C85" w:rsidRPr="00577043">
        <w:rPr>
          <w:rFonts w:eastAsia="Times New Roman" w:cs="Times New Roman"/>
          <w:bCs/>
          <w:color w:val="000000"/>
          <w:lang w:eastAsia="da-DK"/>
        </w:rPr>
        <w:t xml:space="preserve"> </w:t>
      </w:r>
      <w:r w:rsidR="00393707">
        <w:rPr>
          <w:rFonts w:eastAsia="Times New Roman" w:cs="Times New Roman"/>
          <w:bCs/>
          <w:color w:val="000000"/>
          <w:lang w:eastAsia="da-DK"/>
        </w:rPr>
        <w:t xml:space="preserve">fra den rapporterende medlemsstat </w:t>
      </w:r>
      <w:r w:rsidRPr="00577043">
        <w:rPr>
          <w:rFonts w:eastAsia="Times New Roman" w:cs="Times New Roman"/>
          <w:bCs/>
          <w:color w:val="000000"/>
          <w:lang w:eastAsia="da-DK"/>
        </w:rPr>
        <w:t xml:space="preserve">skal </w:t>
      </w:r>
      <w:r w:rsidR="00282FCE" w:rsidRPr="00577043">
        <w:rPr>
          <w:rFonts w:eastAsia="Times New Roman" w:cs="Times New Roman"/>
          <w:bCs/>
          <w:color w:val="000000"/>
          <w:lang w:eastAsia="da-DK"/>
        </w:rPr>
        <w:t>i overensstemmelse med forordningens art</w:t>
      </w:r>
      <w:r w:rsidR="004D355A">
        <w:rPr>
          <w:rFonts w:eastAsia="Times New Roman" w:cs="Times New Roman"/>
          <w:bCs/>
          <w:color w:val="000000"/>
          <w:lang w:eastAsia="da-DK"/>
        </w:rPr>
        <w:t>ikel</w:t>
      </w:r>
      <w:r w:rsidR="00282FCE" w:rsidRPr="00577043">
        <w:rPr>
          <w:rFonts w:eastAsia="Times New Roman" w:cs="Times New Roman"/>
          <w:bCs/>
          <w:color w:val="000000"/>
          <w:lang w:eastAsia="da-DK"/>
        </w:rPr>
        <w:t xml:space="preserve"> 6, stk. 3, </w:t>
      </w:r>
      <w:r w:rsidRPr="00577043">
        <w:rPr>
          <w:rFonts w:eastAsia="Times New Roman" w:cs="Times New Roman"/>
          <w:bCs/>
          <w:color w:val="000000"/>
          <w:lang w:eastAsia="da-DK"/>
        </w:rPr>
        <w:t>indeholde en af følgende konklusioner</w:t>
      </w:r>
      <w:r w:rsidR="004D6453" w:rsidRPr="00577043">
        <w:rPr>
          <w:rFonts w:eastAsia="Times New Roman" w:cs="Times New Roman"/>
          <w:bCs/>
          <w:color w:val="000000"/>
          <w:lang w:eastAsia="da-DK"/>
        </w:rPr>
        <w:t xml:space="preserve"> </w:t>
      </w:r>
      <w:r w:rsidR="00E53C17">
        <w:rPr>
          <w:rFonts w:eastAsia="Times New Roman" w:cs="Times New Roman"/>
          <w:bCs/>
          <w:color w:val="000000"/>
          <w:lang w:eastAsia="da-DK"/>
        </w:rPr>
        <w:t>om</w:t>
      </w:r>
      <w:r w:rsidR="004D6453" w:rsidRPr="00577043">
        <w:rPr>
          <w:rFonts w:eastAsia="Times New Roman" w:cs="Times New Roman"/>
          <w:bCs/>
          <w:color w:val="000000"/>
          <w:lang w:eastAsia="da-DK"/>
        </w:rPr>
        <w:t xml:space="preserve"> de aspekter, der er omhandlet i del I af vurderingsrapporten</w:t>
      </w:r>
      <w:r w:rsidRPr="00577043">
        <w:rPr>
          <w:rFonts w:eastAsia="Times New Roman" w:cs="Times New Roman"/>
          <w:bCs/>
          <w:color w:val="000000"/>
          <w:lang w:eastAsia="da-DK"/>
        </w:rPr>
        <w:t>:</w:t>
      </w:r>
    </w:p>
    <w:p w14:paraId="465274FE" w14:textId="77777777" w:rsidR="00E0528E" w:rsidRPr="00577043" w:rsidRDefault="00E0528E" w:rsidP="00E0528E">
      <w:pPr>
        <w:pStyle w:val="Listeafsnit"/>
        <w:rPr>
          <w:rFonts w:eastAsia="Times New Roman" w:cs="Times New Roman"/>
          <w:bCs/>
          <w:color w:val="000000"/>
          <w:lang w:eastAsia="da-DK"/>
        </w:rPr>
      </w:pPr>
    </w:p>
    <w:p w14:paraId="645F1980" w14:textId="77777777" w:rsidR="00E0528E" w:rsidRPr="00577043" w:rsidRDefault="00E0528E" w:rsidP="00E0528E">
      <w:pPr>
        <w:pStyle w:val="Listeafsnit"/>
        <w:numPr>
          <w:ilvl w:val="0"/>
          <w:numId w:val="23"/>
        </w:numPr>
        <w:rPr>
          <w:rFonts w:eastAsia="Times New Roman" w:cs="Times New Roman"/>
          <w:bCs/>
          <w:color w:val="000000"/>
          <w:lang w:eastAsia="da-DK"/>
        </w:rPr>
      </w:pPr>
      <w:r w:rsidRPr="00577043">
        <w:rPr>
          <w:rFonts w:eastAsia="Times New Roman" w:cs="Times New Roman"/>
          <w:bCs/>
          <w:color w:val="000000"/>
          <w:lang w:eastAsia="da-DK"/>
        </w:rPr>
        <w:t>gennemførelsen af det kliniske forsøg kan accepteres på baggrund af de krav, der er fastsat i forordningen.</w:t>
      </w:r>
    </w:p>
    <w:p w14:paraId="2F622C8D" w14:textId="77777777" w:rsidR="006E6DD5" w:rsidRPr="00577043" w:rsidRDefault="006E6DD5" w:rsidP="006E6DD5">
      <w:pPr>
        <w:pStyle w:val="Listeafsnit"/>
        <w:rPr>
          <w:rFonts w:eastAsia="Times New Roman" w:cs="Times New Roman"/>
          <w:bCs/>
          <w:color w:val="000000"/>
          <w:lang w:eastAsia="da-DK"/>
        </w:rPr>
      </w:pPr>
    </w:p>
    <w:p w14:paraId="6453EA06" w14:textId="77777777" w:rsidR="00E0528E" w:rsidRPr="00577043" w:rsidRDefault="00E0528E" w:rsidP="00E0528E">
      <w:pPr>
        <w:pStyle w:val="Listeafsnit"/>
        <w:numPr>
          <w:ilvl w:val="0"/>
          <w:numId w:val="23"/>
        </w:numPr>
        <w:rPr>
          <w:rFonts w:eastAsia="Times New Roman" w:cs="Times New Roman"/>
          <w:bCs/>
          <w:color w:val="000000"/>
          <w:lang w:eastAsia="da-DK"/>
        </w:rPr>
      </w:pPr>
      <w:r w:rsidRPr="00577043">
        <w:rPr>
          <w:rFonts w:eastAsia="Times New Roman" w:cs="Times New Roman"/>
          <w:bCs/>
          <w:color w:val="000000"/>
          <w:lang w:eastAsia="da-DK"/>
        </w:rPr>
        <w:t>gennemførelsen af det kliniske forsøg kan accepteres på baggrund af de krav, der er fastsat i forordningen, dog kun på særlige betingelser, der specifikt er anført i konklusionen, eller</w:t>
      </w:r>
    </w:p>
    <w:p w14:paraId="0245C8FE" w14:textId="77777777" w:rsidR="006E6DD5" w:rsidRPr="00577043" w:rsidRDefault="006E6DD5" w:rsidP="006E6DD5">
      <w:pPr>
        <w:pStyle w:val="Listeafsnit"/>
        <w:rPr>
          <w:rFonts w:eastAsia="Times New Roman" w:cs="Times New Roman"/>
          <w:bCs/>
          <w:color w:val="000000"/>
          <w:lang w:eastAsia="da-DK"/>
        </w:rPr>
      </w:pPr>
    </w:p>
    <w:p w14:paraId="4A3C5F76" w14:textId="77777777" w:rsidR="006B3B1D" w:rsidRPr="00577043" w:rsidRDefault="00E0528E" w:rsidP="00E85487">
      <w:pPr>
        <w:pStyle w:val="Listeafsnit"/>
        <w:numPr>
          <w:ilvl w:val="0"/>
          <w:numId w:val="23"/>
        </w:numPr>
        <w:rPr>
          <w:rFonts w:eastAsia="Times New Roman" w:cs="Times New Roman"/>
          <w:bCs/>
          <w:color w:val="000000"/>
          <w:lang w:eastAsia="da-DK"/>
        </w:rPr>
      </w:pPr>
      <w:r w:rsidRPr="00577043">
        <w:rPr>
          <w:rFonts w:eastAsia="Times New Roman" w:cs="Times New Roman"/>
          <w:bCs/>
          <w:color w:val="000000"/>
          <w:lang w:eastAsia="da-DK"/>
        </w:rPr>
        <w:t xml:space="preserve">gennemførelsen af det kliniske forsøg kan ikke accepteres på baggrund af de krav, der er fastsat i forordningen. </w:t>
      </w:r>
    </w:p>
    <w:p w14:paraId="09270BA3" w14:textId="77777777" w:rsidR="006B3B1D" w:rsidRPr="00577043" w:rsidRDefault="006B3B1D" w:rsidP="00E85487">
      <w:pPr>
        <w:rPr>
          <w:rFonts w:eastAsia="Times New Roman" w:cs="Times New Roman"/>
          <w:bCs/>
          <w:color w:val="000000"/>
          <w:lang w:eastAsia="da-DK"/>
        </w:rPr>
      </w:pPr>
    </w:p>
    <w:p w14:paraId="39F6278F" w14:textId="77777777" w:rsidR="00497895" w:rsidRPr="00577043" w:rsidRDefault="00FB4A74" w:rsidP="00497895">
      <w:pPr>
        <w:rPr>
          <w:rFonts w:eastAsia="Times New Roman" w:cs="Times New Roman"/>
          <w:bCs/>
          <w:color w:val="000000"/>
          <w:lang w:eastAsia="da-DK"/>
        </w:rPr>
      </w:pPr>
      <w:r w:rsidRPr="00577043">
        <w:rPr>
          <w:rFonts w:eastAsia="Times New Roman" w:cs="Times New Roman"/>
          <w:bCs/>
          <w:color w:val="000000"/>
          <w:lang w:eastAsia="da-DK"/>
        </w:rPr>
        <w:t>Er den rapporterende medlemsstats konklusion for så vidt angår del I af vurderingsrapporten, at gennemførelsen af det kliniske forsøg kan accepteres eller kan accepteres på særlige betingelser, anses den pågældende konklusion for at være den berørte medlemsstats konklusion, jf. art</w:t>
      </w:r>
      <w:r w:rsidR="004D355A">
        <w:rPr>
          <w:rFonts w:eastAsia="Times New Roman" w:cs="Times New Roman"/>
          <w:bCs/>
          <w:color w:val="000000"/>
          <w:lang w:eastAsia="da-DK"/>
        </w:rPr>
        <w:t>ikel</w:t>
      </w:r>
      <w:r w:rsidRPr="00577043">
        <w:rPr>
          <w:rFonts w:eastAsia="Times New Roman" w:cs="Times New Roman"/>
          <w:bCs/>
          <w:color w:val="000000"/>
          <w:lang w:eastAsia="da-DK"/>
        </w:rPr>
        <w:t xml:space="preserve"> 8, stk. 2</w:t>
      </w:r>
      <w:r w:rsidR="00497895">
        <w:rPr>
          <w:rFonts w:eastAsia="Times New Roman" w:cs="Times New Roman"/>
          <w:bCs/>
          <w:color w:val="000000"/>
          <w:lang w:eastAsia="da-DK"/>
        </w:rPr>
        <w:t>, 1. afsnit</w:t>
      </w:r>
      <w:r w:rsidRPr="00577043">
        <w:rPr>
          <w:rFonts w:eastAsia="Times New Roman" w:cs="Times New Roman"/>
          <w:bCs/>
          <w:color w:val="000000"/>
          <w:lang w:eastAsia="da-DK"/>
        </w:rPr>
        <w:t>.</w:t>
      </w:r>
      <w:r w:rsidR="00A41A9D">
        <w:rPr>
          <w:rFonts w:eastAsia="Times New Roman" w:cs="Times New Roman"/>
          <w:bCs/>
          <w:color w:val="000000"/>
          <w:lang w:eastAsia="da-DK"/>
        </w:rPr>
        <w:t xml:space="preserve"> </w:t>
      </w:r>
      <w:r w:rsidR="00497895" w:rsidRPr="00577043">
        <w:rPr>
          <w:rFonts w:eastAsia="Times New Roman" w:cs="Times New Roman"/>
          <w:bCs/>
          <w:color w:val="000000"/>
          <w:lang w:eastAsia="da-DK"/>
        </w:rPr>
        <w:t xml:space="preserve">En berørt medlemsstat kan dog </w:t>
      </w:r>
      <w:r w:rsidR="00497895">
        <w:rPr>
          <w:rFonts w:eastAsia="Times New Roman" w:cs="Times New Roman"/>
          <w:bCs/>
          <w:color w:val="000000"/>
          <w:lang w:eastAsia="da-DK"/>
        </w:rPr>
        <w:t>ifølge artikel 8, stk. 2, 2. og 3</w:t>
      </w:r>
      <w:r w:rsidR="00497895" w:rsidRPr="00577043">
        <w:rPr>
          <w:rFonts w:eastAsia="Times New Roman" w:cs="Times New Roman"/>
          <w:bCs/>
          <w:color w:val="000000"/>
          <w:lang w:eastAsia="da-DK"/>
        </w:rPr>
        <w:t xml:space="preserve">. afsnit, erklære sig uenig i den rapporterende medlemsstats konklusion for så vidt angår del I af vurderingsrapporten, men alene af </w:t>
      </w:r>
      <w:r w:rsidR="00497895">
        <w:rPr>
          <w:rFonts w:eastAsia="Times New Roman" w:cs="Times New Roman"/>
          <w:bCs/>
          <w:color w:val="000000"/>
          <w:lang w:eastAsia="da-DK"/>
        </w:rPr>
        <w:t>en række nærmere angivne grunde, som beskrevet i afsnit 2.2.2.7.</w:t>
      </w:r>
    </w:p>
    <w:p w14:paraId="33586D65" w14:textId="77777777" w:rsidR="008B363B" w:rsidRDefault="008B363B" w:rsidP="00FB4A74">
      <w:pPr>
        <w:rPr>
          <w:rFonts w:eastAsia="Times New Roman" w:cs="Times New Roman"/>
          <w:bCs/>
          <w:color w:val="000000"/>
          <w:lang w:eastAsia="da-DK"/>
        </w:rPr>
      </w:pPr>
    </w:p>
    <w:p w14:paraId="62698A5D" w14:textId="77777777" w:rsidR="00FB4A74" w:rsidRPr="00577043" w:rsidRDefault="00333982" w:rsidP="00FB4A74">
      <w:pPr>
        <w:rPr>
          <w:rFonts w:eastAsia="Times New Roman" w:cs="Times New Roman"/>
          <w:bCs/>
          <w:color w:val="000000"/>
          <w:lang w:eastAsia="da-DK"/>
        </w:rPr>
      </w:pPr>
      <w:r>
        <w:rPr>
          <w:rFonts w:eastAsia="Times New Roman" w:cs="Times New Roman"/>
          <w:bCs/>
          <w:color w:val="000000"/>
          <w:lang w:eastAsia="da-DK"/>
        </w:rPr>
        <w:lastRenderedPageBreak/>
        <w:t xml:space="preserve">Afgørelsen </w:t>
      </w:r>
      <w:r w:rsidR="00E53C17">
        <w:rPr>
          <w:rFonts w:eastAsia="Times New Roman" w:cs="Times New Roman"/>
          <w:bCs/>
          <w:color w:val="000000"/>
          <w:lang w:eastAsia="da-DK"/>
        </w:rPr>
        <w:t>om</w:t>
      </w:r>
      <w:r>
        <w:rPr>
          <w:rFonts w:eastAsia="Times New Roman" w:cs="Times New Roman"/>
          <w:bCs/>
          <w:color w:val="000000"/>
          <w:lang w:eastAsia="da-DK"/>
        </w:rPr>
        <w:t xml:space="preserve"> godkendelse af et klinisk forsøg omfatter herudover en afgørelse </w:t>
      </w:r>
      <w:r w:rsidR="00E53C17">
        <w:rPr>
          <w:rFonts w:eastAsia="Times New Roman" w:cs="Times New Roman"/>
          <w:bCs/>
          <w:color w:val="000000"/>
          <w:lang w:eastAsia="da-DK"/>
        </w:rPr>
        <w:t>om</w:t>
      </w:r>
      <w:r>
        <w:rPr>
          <w:rFonts w:eastAsia="Times New Roman" w:cs="Times New Roman"/>
          <w:bCs/>
          <w:color w:val="000000"/>
          <w:lang w:eastAsia="da-DK"/>
        </w:rPr>
        <w:t xml:space="preserve"> aspekter omfattet af vurderingsrapportens del II, som træffes af den videnskabsetiske komit</w:t>
      </w:r>
      <w:r w:rsidR="006B584C">
        <w:rPr>
          <w:rFonts w:eastAsia="Times New Roman" w:cs="Times New Roman"/>
          <w:bCs/>
          <w:color w:val="000000"/>
          <w:lang w:eastAsia="da-DK"/>
        </w:rPr>
        <w:t>é, som beskrevet i</w:t>
      </w:r>
      <w:r>
        <w:rPr>
          <w:rFonts w:eastAsia="Times New Roman" w:cs="Times New Roman"/>
          <w:bCs/>
          <w:color w:val="000000"/>
          <w:lang w:eastAsia="da-DK"/>
        </w:rPr>
        <w:t xml:space="preserve"> afsnit 2.2.2.</w:t>
      </w:r>
      <w:r w:rsidR="00C81B12">
        <w:rPr>
          <w:rFonts w:eastAsia="Times New Roman" w:cs="Times New Roman"/>
          <w:bCs/>
          <w:color w:val="000000"/>
          <w:lang w:eastAsia="da-DK"/>
        </w:rPr>
        <w:t>5. og 2.2.2.</w:t>
      </w:r>
      <w:r>
        <w:rPr>
          <w:rFonts w:eastAsia="Times New Roman" w:cs="Times New Roman"/>
          <w:bCs/>
          <w:color w:val="000000"/>
          <w:lang w:eastAsia="da-DK"/>
        </w:rPr>
        <w:t>7.</w:t>
      </w:r>
    </w:p>
    <w:p w14:paraId="05EE075A" w14:textId="77777777" w:rsidR="00FB4A74" w:rsidRPr="00577043" w:rsidRDefault="00FB4A74" w:rsidP="00E85487">
      <w:pPr>
        <w:rPr>
          <w:rFonts w:eastAsia="Times New Roman" w:cs="Times New Roman"/>
          <w:bCs/>
          <w:color w:val="000000"/>
          <w:lang w:eastAsia="da-DK"/>
        </w:rPr>
      </w:pPr>
    </w:p>
    <w:p w14:paraId="179CBAF3" w14:textId="77777777" w:rsidR="00793725" w:rsidRPr="00577043" w:rsidRDefault="00793725" w:rsidP="00E85487">
      <w:pPr>
        <w:rPr>
          <w:rFonts w:eastAsia="Times New Roman" w:cs="Times New Roman"/>
          <w:bCs/>
          <w:color w:val="000000"/>
          <w:lang w:eastAsia="da-DK"/>
        </w:rPr>
      </w:pPr>
      <w:r w:rsidRPr="00577043">
        <w:rPr>
          <w:rFonts w:eastAsia="Times New Roman" w:cs="Times New Roman"/>
          <w:bCs/>
          <w:color w:val="000000"/>
          <w:lang w:eastAsia="da-DK"/>
        </w:rPr>
        <w:t xml:space="preserve">Det foreslås med § </w:t>
      </w:r>
      <w:r w:rsidR="00A96714">
        <w:rPr>
          <w:rFonts w:eastAsia="Times New Roman" w:cs="Times New Roman"/>
          <w:bCs/>
          <w:color w:val="000000"/>
          <w:lang w:eastAsia="da-DK"/>
        </w:rPr>
        <w:t>9</w:t>
      </w:r>
      <w:r w:rsidRPr="00577043">
        <w:rPr>
          <w:rFonts w:eastAsia="Times New Roman" w:cs="Times New Roman"/>
          <w:bCs/>
          <w:color w:val="000000"/>
          <w:lang w:eastAsia="da-DK"/>
        </w:rPr>
        <w:t xml:space="preserve">, stk. </w:t>
      </w:r>
      <w:r w:rsidR="00EF5A25" w:rsidRPr="00577043">
        <w:rPr>
          <w:rFonts w:eastAsia="Times New Roman" w:cs="Times New Roman"/>
          <w:bCs/>
          <w:color w:val="000000"/>
          <w:lang w:eastAsia="da-DK"/>
        </w:rPr>
        <w:t>1</w:t>
      </w:r>
      <w:r w:rsidR="00727053" w:rsidRPr="00577043">
        <w:rPr>
          <w:rFonts w:eastAsia="Times New Roman" w:cs="Times New Roman"/>
          <w:bCs/>
          <w:color w:val="000000"/>
          <w:lang w:eastAsia="da-DK"/>
        </w:rPr>
        <w:t>,</w:t>
      </w:r>
      <w:r w:rsidRPr="00577043">
        <w:rPr>
          <w:rFonts w:eastAsia="Times New Roman" w:cs="Times New Roman"/>
          <w:bCs/>
          <w:color w:val="000000"/>
          <w:lang w:eastAsia="da-DK"/>
        </w:rPr>
        <w:t xml:space="preserve"> fastsat, at </w:t>
      </w:r>
      <w:r w:rsidR="0058651B">
        <w:rPr>
          <w:rFonts w:eastAsia="Times New Roman" w:cs="Times New Roman"/>
          <w:bCs/>
          <w:color w:val="000000"/>
          <w:lang w:eastAsia="da-DK"/>
        </w:rPr>
        <w:t>Lægemiddelstyrelsen</w:t>
      </w:r>
      <w:r w:rsidRPr="00577043">
        <w:rPr>
          <w:rFonts w:eastAsia="Times New Roman" w:cs="Times New Roman"/>
          <w:bCs/>
          <w:color w:val="000000"/>
          <w:lang w:eastAsia="da-DK"/>
        </w:rPr>
        <w:t xml:space="preserve"> og den videnskabsetiske l</w:t>
      </w:r>
      <w:r w:rsidR="00EA2983" w:rsidRPr="00577043">
        <w:rPr>
          <w:rFonts w:eastAsia="Times New Roman" w:cs="Times New Roman"/>
          <w:bCs/>
          <w:color w:val="000000"/>
          <w:lang w:eastAsia="da-DK"/>
        </w:rPr>
        <w:t>æ</w:t>
      </w:r>
      <w:r w:rsidRPr="00577043">
        <w:rPr>
          <w:rFonts w:eastAsia="Times New Roman" w:cs="Times New Roman"/>
          <w:bCs/>
          <w:color w:val="000000"/>
          <w:lang w:eastAsia="da-DK"/>
        </w:rPr>
        <w:t>gemiddelkomité koordinerer</w:t>
      </w:r>
      <w:r w:rsidR="00727053" w:rsidRPr="00577043">
        <w:rPr>
          <w:rFonts w:eastAsia="Times New Roman" w:cs="Times New Roman"/>
          <w:bCs/>
          <w:color w:val="000000"/>
          <w:lang w:eastAsia="da-DK"/>
        </w:rPr>
        <w:t xml:space="preserve"> behandlingen af ansøgninger og opfølgningen herpå. Dette indebærer bl.a., at </w:t>
      </w:r>
      <w:r w:rsidR="0058651B">
        <w:rPr>
          <w:rFonts w:eastAsia="Times New Roman" w:cs="Times New Roman"/>
          <w:bCs/>
          <w:color w:val="000000"/>
          <w:lang w:eastAsia="da-DK"/>
        </w:rPr>
        <w:t>Lægemiddelstyrelsen</w:t>
      </w:r>
      <w:r w:rsidR="00727053" w:rsidRPr="00577043">
        <w:rPr>
          <w:rFonts w:eastAsia="Times New Roman" w:cs="Times New Roman"/>
          <w:bCs/>
          <w:color w:val="000000"/>
          <w:lang w:eastAsia="da-DK"/>
        </w:rPr>
        <w:t xml:space="preserve"> informerer komiteen om de sundhedsfaglige </w:t>
      </w:r>
      <w:r w:rsidR="00AE4B0E" w:rsidRPr="00577043">
        <w:rPr>
          <w:rFonts w:eastAsia="Times New Roman" w:cs="Times New Roman"/>
          <w:bCs/>
          <w:color w:val="000000"/>
          <w:lang w:eastAsia="da-DK"/>
        </w:rPr>
        <w:t xml:space="preserve">overvejelser </w:t>
      </w:r>
      <w:r w:rsidR="00E53C17">
        <w:rPr>
          <w:rFonts w:eastAsia="Times New Roman" w:cs="Times New Roman"/>
          <w:bCs/>
          <w:color w:val="000000"/>
          <w:lang w:eastAsia="da-DK"/>
        </w:rPr>
        <w:t>om</w:t>
      </w:r>
      <w:r w:rsidR="00AE4B0E" w:rsidRPr="00577043">
        <w:rPr>
          <w:rFonts w:eastAsia="Times New Roman" w:cs="Times New Roman"/>
          <w:bCs/>
          <w:color w:val="000000"/>
          <w:lang w:eastAsia="da-DK"/>
        </w:rPr>
        <w:t xml:space="preserve"> </w:t>
      </w:r>
      <w:r w:rsidR="00727053" w:rsidRPr="00577043">
        <w:rPr>
          <w:rFonts w:eastAsia="Times New Roman" w:cs="Times New Roman"/>
          <w:bCs/>
          <w:color w:val="000000"/>
          <w:lang w:eastAsia="da-DK"/>
        </w:rPr>
        <w:t>vurderingsrapportens del I</w:t>
      </w:r>
      <w:r w:rsidR="00AE4B0E" w:rsidRPr="00577043">
        <w:rPr>
          <w:rFonts w:eastAsia="Times New Roman" w:cs="Times New Roman"/>
          <w:bCs/>
          <w:color w:val="000000"/>
          <w:lang w:eastAsia="da-DK"/>
        </w:rPr>
        <w:t xml:space="preserve"> og, at den videnskabsetiske lægemiddelkomité tilsvarende informerer </w:t>
      </w:r>
      <w:r w:rsidR="0058651B">
        <w:rPr>
          <w:rFonts w:eastAsia="Times New Roman" w:cs="Times New Roman"/>
          <w:bCs/>
          <w:color w:val="000000"/>
          <w:lang w:eastAsia="da-DK"/>
        </w:rPr>
        <w:t>Lægemiddelstyrelsen</w:t>
      </w:r>
      <w:r w:rsidR="00AE4B0E" w:rsidRPr="00577043">
        <w:rPr>
          <w:rFonts w:eastAsia="Times New Roman" w:cs="Times New Roman"/>
          <w:bCs/>
          <w:color w:val="000000"/>
          <w:lang w:eastAsia="da-DK"/>
        </w:rPr>
        <w:t xml:space="preserve"> om de videnskabsetiske overvejelser</w:t>
      </w:r>
      <w:r w:rsidR="00727053" w:rsidRPr="00577043">
        <w:rPr>
          <w:rFonts w:eastAsia="Times New Roman" w:cs="Times New Roman"/>
          <w:bCs/>
          <w:color w:val="000000"/>
          <w:lang w:eastAsia="da-DK"/>
        </w:rPr>
        <w:t xml:space="preserve">. </w:t>
      </w:r>
    </w:p>
    <w:p w14:paraId="72BCB90B" w14:textId="77777777" w:rsidR="00793725" w:rsidRDefault="00793725" w:rsidP="00E85487">
      <w:pPr>
        <w:rPr>
          <w:rFonts w:eastAsia="Times New Roman" w:cs="Times New Roman"/>
          <w:bCs/>
          <w:color w:val="000000"/>
          <w:lang w:eastAsia="da-DK"/>
        </w:rPr>
      </w:pPr>
    </w:p>
    <w:p w14:paraId="4D13C0C0" w14:textId="77777777" w:rsidR="005D5430" w:rsidRPr="00577043" w:rsidRDefault="000A5135" w:rsidP="005D5430">
      <w:pPr>
        <w:rPr>
          <w:rFonts w:eastAsia="Times New Roman" w:cs="Times New Roman"/>
          <w:bCs/>
          <w:color w:val="000000"/>
          <w:lang w:eastAsia="da-DK"/>
        </w:rPr>
      </w:pPr>
      <w:r>
        <w:rPr>
          <w:rFonts w:eastAsia="Times New Roman" w:cs="Times New Roman"/>
          <w:bCs/>
          <w:color w:val="000000"/>
          <w:lang w:eastAsia="da-DK"/>
        </w:rPr>
        <w:t>I</w:t>
      </w:r>
      <w:r w:rsidR="005D5430">
        <w:rPr>
          <w:rFonts w:eastAsia="Times New Roman" w:cs="Times New Roman"/>
          <w:bCs/>
          <w:color w:val="000000"/>
          <w:lang w:eastAsia="da-DK"/>
        </w:rPr>
        <w:t xml:space="preserve"> forordningens artikel 10 </w:t>
      </w:r>
      <w:r>
        <w:rPr>
          <w:rFonts w:eastAsia="Times New Roman" w:cs="Times New Roman"/>
          <w:bCs/>
          <w:color w:val="000000"/>
          <w:lang w:eastAsia="da-DK"/>
        </w:rPr>
        <w:t xml:space="preserve">stilles krav </w:t>
      </w:r>
      <w:r w:rsidR="005D5430">
        <w:rPr>
          <w:rFonts w:eastAsia="Times New Roman" w:cs="Times New Roman"/>
          <w:bCs/>
          <w:color w:val="000000"/>
          <w:lang w:eastAsia="da-DK"/>
        </w:rPr>
        <w:t>om, at der ved vurderingen af kliniske forsøg</w:t>
      </w:r>
      <w:r>
        <w:rPr>
          <w:rFonts w:eastAsia="Times New Roman" w:cs="Times New Roman"/>
          <w:bCs/>
          <w:color w:val="000000"/>
          <w:lang w:eastAsia="da-DK"/>
        </w:rPr>
        <w:t>, som omfatter</w:t>
      </w:r>
      <w:r w:rsidR="005D5430">
        <w:rPr>
          <w:rFonts w:eastAsia="Times New Roman" w:cs="Times New Roman"/>
          <w:bCs/>
          <w:color w:val="000000"/>
          <w:lang w:eastAsia="da-DK"/>
        </w:rPr>
        <w:t xml:space="preserve"> mindreårige, inhabile eller gravide og ammende skal lægges vægt på særlig ekspertise eller indhentes rådgivning</w:t>
      </w:r>
      <w:r>
        <w:rPr>
          <w:rFonts w:eastAsia="Times New Roman" w:cs="Times New Roman"/>
          <w:bCs/>
          <w:color w:val="000000"/>
          <w:lang w:eastAsia="da-DK"/>
        </w:rPr>
        <w:t>. Dette krav</w:t>
      </w:r>
      <w:r w:rsidR="005D5430">
        <w:rPr>
          <w:rFonts w:eastAsia="Times New Roman" w:cs="Times New Roman"/>
          <w:bCs/>
          <w:color w:val="000000"/>
          <w:lang w:eastAsia="da-DK"/>
        </w:rPr>
        <w:t xml:space="preserve"> forudsættes opfyldt ved</w:t>
      </w:r>
      <w:r w:rsidR="00D602A2">
        <w:rPr>
          <w:rFonts w:eastAsia="Times New Roman" w:cs="Times New Roman"/>
          <w:bCs/>
          <w:color w:val="000000"/>
          <w:lang w:eastAsia="da-DK"/>
        </w:rPr>
        <w:t xml:space="preserve">, at </w:t>
      </w:r>
      <w:r w:rsidR="00AA6684">
        <w:rPr>
          <w:rFonts w:eastAsia="Times New Roman" w:cs="Times New Roman"/>
          <w:bCs/>
          <w:color w:val="000000"/>
          <w:lang w:eastAsia="da-DK"/>
        </w:rPr>
        <w:t xml:space="preserve">en </w:t>
      </w:r>
      <w:r w:rsidR="005D5430">
        <w:rPr>
          <w:rFonts w:eastAsia="Times New Roman" w:cs="Times New Roman"/>
          <w:bCs/>
          <w:color w:val="000000"/>
          <w:lang w:eastAsia="da-DK"/>
        </w:rPr>
        <w:t xml:space="preserve">ekspert </w:t>
      </w:r>
      <w:r w:rsidR="00AA6684">
        <w:rPr>
          <w:rFonts w:eastAsia="Times New Roman" w:cs="Times New Roman"/>
          <w:bCs/>
          <w:color w:val="000000"/>
          <w:lang w:eastAsia="da-DK"/>
        </w:rPr>
        <w:t xml:space="preserve">inden for pædiatri, eller den relevante sygdoms- eller patientkategori </w:t>
      </w:r>
      <w:r w:rsidR="005D5430">
        <w:rPr>
          <w:rFonts w:eastAsia="Times New Roman" w:cs="Times New Roman"/>
          <w:bCs/>
          <w:color w:val="000000"/>
          <w:lang w:eastAsia="da-DK"/>
        </w:rPr>
        <w:t xml:space="preserve">er medlem af komiteen, eller ved at komiteen indhenter udtalelse fra </w:t>
      </w:r>
      <w:r w:rsidR="00AA6684">
        <w:rPr>
          <w:rFonts w:eastAsia="Times New Roman" w:cs="Times New Roman"/>
          <w:bCs/>
          <w:color w:val="000000"/>
          <w:lang w:eastAsia="da-DK"/>
        </w:rPr>
        <w:t>d</w:t>
      </w:r>
      <w:r w:rsidR="005D5430">
        <w:rPr>
          <w:rFonts w:eastAsia="Times New Roman" w:cs="Times New Roman"/>
          <w:bCs/>
          <w:color w:val="000000"/>
          <w:lang w:eastAsia="da-DK"/>
        </w:rPr>
        <w:t xml:space="preserve">en </w:t>
      </w:r>
      <w:r w:rsidR="00AA6684">
        <w:rPr>
          <w:rFonts w:eastAsia="Times New Roman" w:cs="Times New Roman"/>
          <w:bCs/>
          <w:color w:val="000000"/>
          <w:lang w:eastAsia="da-DK"/>
        </w:rPr>
        <w:t xml:space="preserve">relevante </w:t>
      </w:r>
      <w:r w:rsidR="005D5430">
        <w:rPr>
          <w:rFonts w:eastAsia="Times New Roman" w:cs="Times New Roman"/>
          <w:bCs/>
          <w:color w:val="000000"/>
          <w:lang w:eastAsia="da-DK"/>
        </w:rPr>
        <w:t>ekspert. Som led i koord</w:t>
      </w:r>
      <w:r w:rsidR="00E710E4">
        <w:rPr>
          <w:rFonts w:eastAsia="Times New Roman" w:cs="Times New Roman"/>
          <w:bCs/>
          <w:color w:val="000000"/>
          <w:lang w:eastAsia="da-DK"/>
        </w:rPr>
        <w:t>ineringen af vurderingen af</w:t>
      </w:r>
      <w:r>
        <w:rPr>
          <w:rFonts w:eastAsia="Times New Roman" w:cs="Times New Roman"/>
          <w:bCs/>
          <w:color w:val="000000"/>
          <w:lang w:eastAsia="da-DK"/>
        </w:rPr>
        <w:t xml:space="preserve"> del</w:t>
      </w:r>
      <w:r w:rsidR="005D5430">
        <w:rPr>
          <w:rFonts w:eastAsia="Times New Roman" w:cs="Times New Roman"/>
          <w:bCs/>
          <w:color w:val="000000"/>
          <w:lang w:eastAsia="da-DK"/>
        </w:rPr>
        <w:t xml:space="preserve"> I videregiver den videnskabsetiske lægemiddelkomite </w:t>
      </w:r>
      <w:r w:rsidR="00AA6684">
        <w:rPr>
          <w:rFonts w:eastAsia="Times New Roman" w:cs="Times New Roman"/>
          <w:bCs/>
          <w:color w:val="000000"/>
          <w:lang w:eastAsia="da-DK"/>
        </w:rPr>
        <w:t>eksperterne</w:t>
      </w:r>
      <w:r w:rsidR="00E710E4">
        <w:rPr>
          <w:rFonts w:eastAsia="Times New Roman" w:cs="Times New Roman"/>
          <w:bCs/>
          <w:color w:val="000000"/>
          <w:lang w:eastAsia="da-DK"/>
        </w:rPr>
        <w:t>s vurdering</w:t>
      </w:r>
      <w:r w:rsidR="00AA6684">
        <w:rPr>
          <w:rFonts w:eastAsia="Times New Roman" w:cs="Times New Roman"/>
          <w:bCs/>
          <w:color w:val="000000"/>
          <w:lang w:eastAsia="da-DK"/>
        </w:rPr>
        <w:t xml:space="preserve"> </w:t>
      </w:r>
      <w:r w:rsidR="005D5430">
        <w:rPr>
          <w:rFonts w:eastAsia="Times New Roman" w:cs="Times New Roman"/>
          <w:bCs/>
          <w:color w:val="000000"/>
          <w:lang w:eastAsia="da-DK"/>
        </w:rPr>
        <w:t xml:space="preserve">til </w:t>
      </w:r>
      <w:r w:rsidR="0058651B">
        <w:rPr>
          <w:rFonts w:eastAsia="Times New Roman" w:cs="Times New Roman"/>
          <w:bCs/>
          <w:color w:val="000000"/>
          <w:lang w:eastAsia="da-DK"/>
        </w:rPr>
        <w:t>Lægemiddelstyrelsen</w:t>
      </w:r>
      <w:r w:rsidR="005D5430">
        <w:rPr>
          <w:rFonts w:eastAsia="Times New Roman" w:cs="Times New Roman"/>
          <w:bCs/>
          <w:color w:val="000000"/>
          <w:lang w:eastAsia="da-DK"/>
        </w:rPr>
        <w:t xml:space="preserve">. </w:t>
      </w:r>
      <w:r>
        <w:rPr>
          <w:rFonts w:eastAsia="Times New Roman" w:cs="Times New Roman"/>
          <w:bCs/>
          <w:color w:val="000000"/>
          <w:lang w:eastAsia="da-DK"/>
        </w:rPr>
        <w:t>D</w:t>
      </w:r>
      <w:r w:rsidR="005D5430">
        <w:rPr>
          <w:rFonts w:eastAsia="Times New Roman" w:cs="Times New Roman"/>
          <w:bCs/>
          <w:color w:val="000000"/>
          <w:lang w:eastAsia="da-DK"/>
        </w:rPr>
        <w:t xml:space="preserve">en pågældende ekspertise </w:t>
      </w:r>
      <w:r>
        <w:rPr>
          <w:rFonts w:eastAsia="Times New Roman" w:cs="Times New Roman"/>
          <w:bCs/>
          <w:color w:val="000000"/>
          <w:lang w:eastAsia="da-DK"/>
        </w:rPr>
        <w:t>kan ligeledes i</w:t>
      </w:r>
      <w:r w:rsidR="005D5430">
        <w:rPr>
          <w:rFonts w:eastAsia="Times New Roman" w:cs="Times New Roman"/>
          <w:bCs/>
          <w:color w:val="000000"/>
          <w:lang w:eastAsia="da-DK"/>
        </w:rPr>
        <w:t xml:space="preserve">nddrages i </w:t>
      </w:r>
      <w:r w:rsidR="0058651B">
        <w:rPr>
          <w:rFonts w:eastAsia="Times New Roman" w:cs="Times New Roman"/>
          <w:bCs/>
          <w:color w:val="000000"/>
          <w:lang w:eastAsia="da-DK"/>
        </w:rPr>
        <w:t>Lægemiddelstyrelsen</w:t>
      </w:r>
      <w:r w:rsidR="005D5430">
        <w:rPr>
          <w:rFonts w:eastAsia="Times New Roman" w:cs="Times New Roman"/>
          <w:bCs/>
          <w:color w:val="000000"/>
          <w:lang w:eastAsia="da-DK"/>
        </w:rPr>
        <w:t xml:space="preserve">s behandling </w:t>
      </w:r>
      <w:r>
        <w:rPr>
          <w:rFonts w:eastAsia="Times New Roman" w:cs="Times New Roman"/>
          <w:bCs/>
          <w:color w:val="000000"/>
          <w:lang w:eastAsia="da-DK"/>
        </w:rPr>
        <w:t xml:space="preserve">af en ansøgning </w:t>
      </w:r>
      <w:r w:rsidR="005D5430">
        <w:rPr>
          <w:rFonts w:eastAsia="Times New Roman" w:cs="Times New Roman"/>
          <w:bCs/>
          <w:color w:val="000000"/>
          <w:lang w:eastAsia="da-DK"/>
        </w:rPr>
        <w:t xml:space="preserve">og </w:t>
      </w:r>
      <w:r w:rsidR="00E710E4">
        <w:rPr>
          <w:rFonts w:eastAsia="Times New Roman" w:cs="Times New Roman"/>
          <w:bCs/>
          <w:color w:val="000000"/>
          <w:lang w:eastAsia="da-DK"/>
        </w:rPr>
        <w:t>eksperternes vurdering ligeledes videregives til</w:t>
      </w:r>
      <w:r w:rsidR="005D5430">
        <w:rPr>
          <w:rFonts w:eastAsia="Times New Roman" w:cs="Times New Roman"/>
          <w:bCs/>
          <w:color w:val="000000"/>
          <w:lang w:eastAsia="da-DK"/>
        </w:rPr>
        <w:t xml:space="preserve"> den videnskabsetiske</w:t>
      </w:r>
      <w:r>
        <w:rPr>
          <w:rFonts w:eastAsia="Times New Roman" w:cs="Times New Roman"/>
          <w:bCs/>
          <w:color w:val="000000"/>
          <w:lang w:eastAsia="da-DK"/>
        </w:rPr>
        <w:t xml:space="preserve"> komité</w:t>
      </w:r>
      <w:r w:rsidR="005D5430">
        <w:rPr>
          <w:rFonts w:eastAsia="Times New Roman" w:cs="Times New Roman"/>
          <w:bCs/>
          <w:color w:val="000000"/>
          <w:lang w:eastAsia="da-DK"/>
        </w:rPr>
        <w:t xml:space="preserve">. </w:t>
      </w:r>
    </w:p>
    <w:p w14:paraId="09D65301" w14:textId="77777777" w:rsidR="005D5430" w:rsidRPr="00577043" w:rsidRDefault="005D5430" w:rsidP="00E85487">
      <w:pPr>
        <w:rPr>
          <w:rFonts w:eastAsia="Times New Roman" w:cs="Times New Roman"/>
          <w:bCs/>
          <w:color w:val="000000"/>
          <w:lang w:eastAsia="da-DK"/>
        </w:rPr>
      </w:pPr>
    </w:p>
    <w:p w14:paraId="7E3B0B40" w14:textId="77777777" w:rsidR="0054322C" w:rsidRDefault="00EB2575" w:rsidP="005D1ADC">
      <w:pPr>
        <w:rPr>
          <w:rFonts w:eastAsia="Times New Roman" w:cs="Times New Roman"/>
          <w:bCs/>
          <w:color w:val="000000"/>
          <w:lang w:eastAsia="da-DK"/>
        </w:rPr>
      </w:pPr>
      <w:r w:rsidRPr="00577043">
        <w:rPr>
          <w:rFonts w:eastAsia="Times New Roman" w:cs="Times New Roman"/>
          <w:bCs/>
          <w:color w:val="000000"/>
          <w:lang w:eastAsia="da-DK"/>
        </w:rPr>
        <w:t xml:space="preserve">Som nævnt i afsnit </w:t>
      </w:r>
      <w:r w:rsidR="004A1E53">
        <w:rPr>
          <w:rFonts w:eastAsia="Times New Roman" w:cs="Times New Roman"/>
          <w:bCs/>
          <w:color w:val="000000"/>
          <w:lang w:eastAsia="da-DK"/>
        </w:rPr>
        <w:t>2.2.2.3</w:t>
      </w:r>
      <w:r w:rsidRPr="00577043">
        <w:rPr>
          <w:rFonts w:eastAsia="Times New Roman" w:cs="Times New Roman"/>
          <w:bCs/>
          <w:color w:val="000000"/>
          <w:lang w:eastAsia="da-DK"/>
        </w:rPr>
        <w:t>. foreslås det</w:t>
      </w:r>
      <w:r w:rsidR="00546C44">
        <w:rPr>
          <w:rFonts w:eastAsia="Times New Roman" w:cs="Times New Roman"/>
          <w:bCs/>
          <w:color w:val="000000"/>
          <w:lang w:eastAsia="da-DK"/>
        </w:rPr>
        <w:t xml:space="preserve"> med § </w:t>
      </w:r>
      <w:r w:rsidR="00A96714">
        <w:rPr>
          <w:rFonts w:eastAsia="Times New Roman" w:cs="Times New Roman"/>
          <w:bCs/>
          <w:color w:val="000000"/>
          <w:lang w:eastAsia="da-DK"/>
        </w:rPr>
        <w:t>13</w:t>
      </w:r>
      <w:r w:rsidR="00546C44">
        <w:rPr>
          <w:rFonts w:eastAsia="Times New Roman" w:cs="Times New Roman"/>
          <w:bCs/>
          <w:color w:val="000000"/>
          <w:lang w:eastAsia="da-DK"/>
        </w:rPr>
        <w:t xml:space="preserve">, stk. </w:t>
      </w:r>
      <w:r w:rsidR="004170F4">
        <w:rPr>
          <w:rFonts w:eastAsia="Times New Roman" w:cs="Times New Roman"/>
          <w:bCs/>
          <w:color w:val="000000"/>
          <w:lang w:eastAsia="da-DK"/>
        </w:rPr>
        <w:t>2</w:t>
      </w:r>
      <w:r w:rsidRPr="00577043">
        <w:rPr>
          <w:rFonts w:eastAsia="Times New Roman" w:cs="Times New Roman"/>
          <w:bCs/>
          <w:color w:val="000000"/>
          <w:lang w:eastAsia="da-DK"/>
        </w:rPr>
        <w:t xml:space="preserve">, at </w:t>
      </w:r>
      <w:r w:rsidR="00A22EAD" w:rsidRPr="00577043">
        <w:rPr>
          <w:rFonts w:eastAsia="Times New Roman" w:cs="Times New Roman"/>
          <w:bCs/>
          <w:color w:val="000000"/>
          <w:lang w:eastAsia="da-DK"/>
        </w:rPr>
        <w:t>sundheds- og ældreministeren</w:t>
      </w:r>
      <w:r w:rsidRPr="00577043">
        <w:rPr>
          <w:rFonts w:eastAsia="Times New Roman" w:cs="Times New Roman"/>
          <w:bCs/>
          <w:color w:val="000000"/>
          <w:lang w:eastAsia="da-DK"/>
        </w:rPr>
        <w:t xml:space="preserve"> bemyndiges til at fastsætte nærmere regler om behandlingen af ansøgninger om kliniske forsøg og opfølgningen på godkendte kliniske forsøg. </w:t>
      </w:r>
      <w:r w:rsidR="005D1ADC" w:rsidRPr="00577043">
        <w:rPr>
          <w:rFonts w:eastAsia="Times New Roman" w:cs="Times New Roman"/>
          <w:bCs/>
          <w:color w:val="000000"/>
          <w:lang w:eastAsia="da-DK"/>
        </w:rPr>
        <w:t xml:space="preserve">Hjemlen forventes bl.a. benyttet til at fastsætte, at </w:t>
      </w:r>
      <w:r w:rsidR="0058651B">
        <w:rPr>
          <w:rFonts w:eastAsia="Times New Roman" w:cs="Times New Roman"/>
          <w:bCs/>
          <w:color w:val="000000"/>
          <w:lang w:eastAsia="da-DK"/>
        </w:rPr>
        <w:t>Lægemiddelstyrelsen</w:t>
      </w:r>
      <w:r w:rsidR="005D1ADC" w:rsidRPr="00577043">
        <w:rPr>
          <w:rFonts w:eastAsia="Times New Roman" w:cs="Times New Roman"/>
          <w:bCs/>
          <w:color w:val="000000"/>
          <w:lang w:eastAsia="da-DK"/>
        </w:rPr>
        <w:t xml:space="preserve"> giver meddelelse til alle berørte medlemsstater om dels </w:t>
      </w:r>
      <w:r w:rsidR="0058651B">
        <w:rPr>
          <w:rFonts w:eastAsia="Times New Roman" w:cs="Times New Roman"/>
          <w:bCs/>
          <w:color w:val="000000"/>
          <w:lang w:eastAsia="da-DK"/>
        </w:rPr>
        <w:t>Lægemiddelstyrelsen</w:t>
      </w:r>
      <w:r w:rsidR="005D1ADC" w:rsidRPr="00577043">
        <w:rPr>
          <w:rFonts w:eastAsia="Times New Roman" w:cs="Times New Roman"/>
          <w:bCs/>
          <w:color w:val="000000"/>
          <w:lang w:eastAsia="da-DK"/>
        </w:rPr>
        <w:t xml:space="preserve">s overvejelser, dels den videnskabsetiske lægemiddelkomités overvejelser </w:t>
      </w:r>
      <w:r w:rsidR="00E53C17">
        <w:rPr>
          <w:rFonts w:eastAsia="Times New Roman" w:cs="Times New Roman"/>
          <w:bCs/>
          <w:color w:val="000000"/>
          <w:lang w:eastAsia="da-DK"/>
        </w:rPr>
        <w:t>om</w:t>
      </w:r>
      <w:r w:rsidR="005D1ADC" w:rsidRPr="00577043">
        <w:rPr>
          <w:rFonts w:eastAsia="Times New Roman" w:cs="Times New Roman"/>
          <w:bCs/>
          <w:color w:val="000000"/>
          <w:lang w:eastAsia="da-DK"/>
        </w:rPr>
        <w:t xml:space="preserve"> vurderingsrapportens del I</w:t>
      </w:r>
      <w:r w:rsidR="00806291">
        <w:rPr>
          <w:rFonts w:eastAsia="Times New Roman" w:cs="Times New Roman"/>
          <w:bCs/>
          <w:color w:val="000000"/>
          <w:lang w:eastAsia="da-DK"/>
        </w:rPr>
        <w:t>, jf. forordningens art</w:t>
      </w:r>
      <w:r w:rsidR="004D355A">
        <w:rPr>
          <w:rFonts w:eastAsia="Times New Roman" w:cs="Times New Roman"/>
          <w:bCs/>
          <w:color w:val="000000"/>
          <w:lang w:eastAsia="da-DK"/>
        </w:rPr>
        <w:t>ikel</w:t>
      </w:r>
      <w:r w:rsidR="00806291">
        <w:rPr>
          <w:rFonts w:eastAsia="Times New Roman" w:cs="Times New Roman"/>
          <w:bCs/>
          <w:color w:val="000000"/>
          <w:lang w:eastAsia="da-DK"/>
        </w:rPr>
        <w:t xml:space="preserve"> 6, stk. 5</w:t>
      </w:r>
      <w:r w:rsidR="005D1ADC" w:rsidRPr="00577043">
        <w:rPr>
          <w:rFonts w:eastAsia="Times New Roman" w:cs="Times New Roman"/>
          <w:bCs/>
          <w:color w:val="000000"/>
          <w:lang w:eastAsia="da-DK"/>
        </w:rPr>
        <w:t>.</w:t>
      </w:r>
      <w:r w:rsidR="00D41835">
        <w:rPr>
          <w:rFonts w:eastAsia="Times New Roman" w:cs="Times New Roman"/>
          <w:bCs/>
          <w:color w:val="000000"/>
          <w:lang w:eastAsia="da-DK"/>
        </w:rPr>
        <w:t xml:space="preserve"> </w:t>
      </w:r>
    </w:p>
    <w:p w14:paraId="3A2B97CD" w14:textId="77777777" w:rsidR="00DD4980" w:rsidRPr="00577043" w:rsidRDefault="00DD4980" w:rsidP="005D1ADC">
      <w:pPr>
        <w:rPr>
          <w:rFonts w:eastAsia="Times New Roman" w:cs="Times New Roman"/>
          <w:bCs/>
          <w:color w:val="000000"/>
          <w:lang w:eastAsia="da-DK"/>
        </w:rPr>
      </w:pPr>
    </w:p>
    <w:p w14:paraId="356B6F8F" w14:textId="77777777" w:rsidR="005041C2" w:rsidRPr="00577043" w:rsidRDefault="005F14CA" w:rsidP="005060CE">
      <w:pPr>
        <w:pStyle w:val="Overskrift5"/>
        <w:rPr>
          <w:rFonts w:eastAsia="Times New Roman"/>
          <w:lang w:eastAsia="da-DK"/>
        </w:rPr>
      </w:pPr>
      <w:r w:rsidRPr="00577043">
        <w:rPr>
          <w:rFonts w:eastAsia="Times New Roman"/>
          <w:lang w:eastAsia="da-DK"/>
        </w:rPr>
        <w:t>2.</w:t>
      </w:r>
      <w:r w:rsidR="001511E7" w:rsidRPr="00577043">
        <w:rPr>
          <w:rFonts w:eastAsia="Times New Roman"/>
          <w:lang w:eastAsia="da-DK"/>
        </w:rPr>
        <w:t>2</w:t>
      </w:r>
      <w:r w:rsidRPr="00577043">
        <w:rPr>
          <w:rFonts w:eastAsia="Times New Roman"/>
          <w:lang w:eastAsia="da-DK"/>
        </w:rPr>
        <w:t>.2.</w:t>
      </w:r>
      <w:r w:rsidR="00C80D63">
        <w:rPr>
          <w:rFonts w:eastAsia="Times New Roman"/>
          <w:lang w:eastAsia="da-DK"/>
        </w:rPr>
        <w:t>5</w:t>
      </w:r>
      <w:r w:rsidR="005041C2" w:rsidRPr="00577043">
        <w:rPr>
          <w:rFonts w:eastAsia="Times New Roman"/>
          <w:lang w:eastAsia="da-DK"/>
        </w:rPr>
        <w:t>. Danmark som rapporterende medlemsstat</w:t>
      </w:r>
    </w:p>
    <w:p w14:paraId="75A3A3DA" w14:textId="77777777" w:rsidR="004F796F" w:rsidRPr="00577043" w:rsidRDefault="004F796F" w:rsidP="005060CE">
      <w:pPr>
        <w:rPr>
          <w:rFonts w:eastAsia="Times New Roman" w:cs="Times New Roman"/>
          <w:bCs/>
          <w:color w:val="000000"/>
          <w:lang w:eastAsia="da-DK"/>
        </w:rPr>
      </w:pPr>
      <w:r w:rsidRPr="00577043">
        <w:rPr>
          <w:rFonts w:eastAsia="Times New Roman" w:cs="Times New Roman"/>
          <w:bCs/>
          <w:color w:val="000000"/>
          <w:lang w:eastAsia="da-DK"/>
        </w:rPr>
        <w:t xml:space="preserve">I forbindelse med ansøgninger, hvor Danmark er rapporterende medlemsstat, foreslås det, at </w:t>
      </w:r>
      <w:r w:rsidR="0058651B">
        <w:rPr>
          <w:rFonts w:eastAsia="Times New Roman" w:cs="Times New Roman"/>
          <w:bCs/>
          <w:color w:val="000000"/>
          <w:lang w:eastAsia="da-DK"/>
        </w:rPr>
        <w:t>Lægemiddelstyrelsen</w:t>
      </w:r>
      <w:r w:rsidRPr="00577043">
        <w:rPr>
          <w:rFonts w:eastAsia="Times New Roman" w:cs="Times New Roman"/>
          <w:bCs/>
          <w:color w:val="000000"/>
          <w:lang w:eastAsia="da-DK"/>
        </w:rPr>
        <w:t xml:space="preserve"> </w:t>
      </w:r>
      <w:r w:rsidR="00FD0D98">
        <w:rPr>
          <w:rFonts w:eastAsia="Times New Roman" w:cs="Times New Roman"/>
          <w:bCs/>
          <w:color w:val="000000"/>
          <w:lang w:eastAsia="da-DK"/>
        </w:rPr>
        <w:t xml:space="preserve">meddeler sponsor resultatet af </w:t>
      </w:r>
      <w:r w:rsidRPr="00577043">
        <w:rPr>
          <w:rFonts w:eastAsia="Times New Roman" w:cs="Times New Roman"/>
          <w:bCs/>
          <w:color w:val="000000"/>
          <w:lang w:eastAsia="da-DK"/>
        </w:rPr>
        <w:t>valider</w:t>
      </w:r>
      <w:r w:rsidR="00FD0D98">
        <w:rPr>
          <w:rFonts w:eastAsia="Times New Roman" w:cs="Times New Roman"/>
          <w:bCs/>
          <w:color w:val="000000"/>
          <w:lang w:eastAsia="da-DK"/>
        </w:rPr>
        <w:t>ingen af</w:t>
      </w:r>
      <w:r w:rsidRPr="00577043">
        <w:rPr>
          <w:rFonts w:eastAsia="Times New Roman" w:cs="Times New Roman"/>
          <w:bCs/>
          <w:color w:val="000000"/>
          <w:lang w:eastAsia="da-DK"/>
        </w:rPr>
        <w:t xml:space="preserve"> ansøgningerne i overensstemmelse med forordningens art</w:t>
      </w:r>
      <w:r w:rsidR="004D355A">
        <w:rPr>
          <w:rFonts w:eastAsia="Times New Roman" w:cs="Times New Roman"/>
          <w:bCs/>
          <w:color w:val="000000"/>
          <w:lang w:eastAsia="da-DK"/>
        </w:rPr>
        <w:t>ikel</w:t>
      </w:r>
      <w:r w:rsidRPr="00577043">
        <w:rPr>
          <w:rFonts w:eastAsia="Times New Roman" w:cs="Times New Roman"/>
          <w:bCs/>
          <w:color w:val="000000"/>
          <w:lang w:eastAsia="da-DK"/>
        </w:rPr>
        <w:t xml:space="preserve"> 5, </w:t>
      </w:r>
      <w:r w:rsidR="004170F4">
        <w:rPr>
          <w:rFonts w:eastAsia="Times New Roman" w:cs="Times New Roman"/>
          <w:bCs/>
          <w:color w:val="000000"/>
          <w:lang w:eastAsia="da-DK"/>
        </w:rPr>
        <w:t>i overensstemmelse med</w:t>
      </w:r>
      <w:r w:rsidRPr="00577043">
        <w:rPr>
          <w:rFonts w:eastAsia="Times New Roman" w:cs="Times New Roman"/>
          <w:bCs/>
          <w:color w:val="000000"/>
          <w:lang w:eastAsia="da-DK"/>
        </w:rPr>
        <w:t xml:space="preserve"> den foreslåede § </w:t>
      </w:r>
      <w:r w:rsidR="00A96714">
        <w:rPr>
          <w:rFonts w:eastAsia="Times New Roman" w:cs="Times New Roman"/>
          <w:bCs/>
          <w:color w:val="000000"/>
          <w:lang w:eastAsia="da-DK"/>
        </w:rPr>
        <w:t>9</w:t>
      </w:r>
      <w:r w:rsidRPr="00577043">
        <w:rPr>
          <w:rFonts w:eastAsia="Times New Roman" w:cs="Times New Roman"/>
          <w:bCs/>
          <w:color w:val="000000"/>
          <w:lang w:eastAsia="da-DK"/>
        </w:rPr>
        <w:t xml:space="preserve">, stk. </w:t>
      </w:r>
      <w:r w:rsidR="004170F4">
        <w:rPr>
          <w:rFonts w:eastAsia="Times New Roman" w:cs="Times New Roman"/>
          <w:bCs/>
          <w:color w:val="000000"/>
          <w:lang w:eastAsia="da-DK"/>
        </w:rPr>
        <w:t>3</w:t>
      </w:r>
      <w:r w:rsidRPr="00577043">
        <w:rPr>
          <w:rFonts w:eastAsia="Times New Roman" w:cs="Times New Roman"/>
          <w:bCs/>
          <w:color w:val="000000"/>
          <w:lang w:eastAsia="da-DK"/>
        </w:rPr>
        <w:t>.</w:t>
      </w:r>
    </w:p>
    <w:p w14:paraId="21D1D969" w14:textId="77777777" w:rsidR="004F796F" w:rsidRDefault="004F796F" w:rsidP="005060CE">
      <w:pPr>
        <w:rPr>
          <w:rFonts w:eastAsia="Times New Roman" w:cs="Times New Roman"/>
          <w:bCs/>
          <w:color w:val="000000"/>
          <w:lang w:eastAsia="da-DK"/>
        </w:rPr>
      </w:pPr>
    </w:p>
    <w:p w14:paraId="0A8E4453" w14:textId="77777777" w:rsidR="005060CE" w:rsidRPr="00577043" w:rsidRDefault="005060CE" w:rsidP="00C11213">
      <w:pPr>
        <w:rPr>
          <w:rFonts w:eastAsia="Times New Roman" w:cs="Times New Roman"/>
          <w:color w:val="000000"/>
          <w:lang w:eastAsia="da-DK"/>
        </w:rPr>
      </w:pPr>
      <w:r w:rsidRPr="00577043">
        <w:rPr>
          <w:rFonts w:eastAsia="Times New Roman" w:cs="Times New Roman"/>
          <w:bCs/>
          <w:color w:val="000000"/>
          <w:lang w:eastAsia="da-DK"/>
        </w:rPr>
        <w:t>Det foreslås</w:t>
      </w:r>
      <w:r w:rsidR="00E23286">
        <w:rPr>
          <w:rFonts w:eastAsia="Times New Roman" w:cs="Times New Roman"/>
          <w:bCs/>
          <w:color w:val="000000"/>
          <w:lang w:eastAsia="da-DK"/>
        </w:rPr>
        <w:t xml:space="preserve"> </w:t>
      </w:r>
      <w:r w:rsidR="00DE2573" w:rsidRPr="00577043">
        <w:rPr>
          <w:rFonts w:eastAsia="Times New Roman" w:cs="Times New Roman"/>
          <w:bCs/>
          <w:color w:val="000000"/>
          <w:lang w:eastAsia="da-DK"/>
        </w:rPr>
        <w:t xml:space="preserve">med § </w:t>
      </w:r>
      <w:r w:rsidR="00A96714">
        <w:rPr>
          <w:rFonts w:eastAsia="Times New Roman" w:cs="Times New Roman"/>
          <w:bCs/>
          <w:color w:val="000000"/>
          <w:lang w:eastAsia="da-DK"/>
        </w:rPr>
        <w:t>13</w:t>
      </w:r>
      <w:r w:rsidR="00DE2573" w:rsidRPr="00577043">
        <w:rPr>
          <w:rFonts w:eastAsia="Times New Roman" w:cs="Times New Roman"/>
          <w:bCs/>
          <w:color w:val="000000"/>
          <w:lang w:eastAsia="da-DK"/>
        </w:rPr>
        <w:t xml:space="preserve">, stk. </w:t>
      </w:r>
      <w:r w:rsidR="004170F4">
        <w:rPr>
          <w:rFonts w:eastAsia="Times New Roman" w:cs="Times New Roman"/>
          <w:bCs/>
          <w:color w:val="000000"/>
          <w:lang w:eastAsia="da-DK"/>
        </w:rPr>
        <w:t>2</w:t>
      </w:r>
      <w:r w:rsidRPr="00577043">
        <w:rPr>
          <w:rFonts w:eastAsia="Times New Roman" w:cs="Times New Roman"/>
          <w:bCs/>
          <w:color w:val="000000"/>
          <w:lang w:eastAsia="da-DK"/>
        </w:rPr>
        <w:t xml:space="preserve">, at </w:t>
      </w:r>
      <w:r w:rsidR="00A22EAD" w:rsidRPr="00577043">
        <w:rPr>
          <w:rFonts w:eastAsia="Times New Roman" w:cs="Times New Roman"/>
          <w:bCs/>
          <w:color w:val="000000"/>
          <w:lang w:eastAsia="da-DK"/>
        </w:rPr>
        <w:t>sundheds- og ældreministeren</w:t>
      </w:r>
      <w:r w:rsidRPr="00577043">
        <w:rPr>
          <w:rFonts w:eastAsia="Times New Roman" w:cs="Times New Roman"/>
          <w:bCs/>
          <w:color w:val="000000"/>
          <w:lang w:eastAsia="da-DK"/>
        </w:rPr>
        <w:t xml:space="preserve"> bemyndiges til at fastsætte nærmere regler om </w:t>
      </w:r>
      <w:r w:rsidR="0058651B">
        <w:rPr>
          <w:rFonts w:eastAsia="Times New Roman" w:cs="Times New Roman"/>
          <w:bCs/>
          <w:color w:val="000000"/>
          <w:lang w:eastAsia="da-DK"/>
        </w:rPr>
        <w:t>Lægemiddelstyrelsen</w:t>
      </w:r>
      <w:r w:rsidR="007D7BCA" w:rsidRPr="00577043">
        <w:rPr>
          <w:rFonts w:eastAsia="Times New Roman" w:cs="Times New Roman"/>
          <w:bCs/>
          <w:color w:val="000000"/>
          <w:lang w:eastAsia="da-DK"/>
        </w:rPr>
        <w:t>s</w:t>
      </w:r>
      <w:r w:rsidRPr="00577043">
        <w:rPr>
          <w:rFonts w:eastAsia="Times New Roman" w:cs="Times New Roman"/>
          <w:bCs/>
          <w:color w:val="000000"/>
          <w:lang w:eastAsia="da-DK"/>
        </w:rPr>
        <w:t xml:space="preserve"> og den videnskabsetiske lægemiddelkomité</w:t>
      </w:r>
      <w:r w:rsidR="007D7BCA" w:rsidRPr="00577043">
        <w:rPr>
          <w:rFonts w:eastAsia="Times New Roman" w:cs="Times New Roman"/>
          <w:bCs/>
          <w:color w:val="000000"/>
          <w:lang w:eastAsia="da-DK"/>
        </w:rPr>
        <w:t>s</w:t>
      </w:r>
      <w:r w:rsidRPr="00577043">
        <w:rPr>
          <w:rFonts w:eastAsia="Times New Roman" w:cs="Times New Roman"/>
          <w:bCs/>
          <w:color w:val="000000"/>
          <w:lang w:eastAsia="da-DK"/>
        </w:rPr>
        <w:t xml:space="preserve"> behandling af en ansøgning. </w:t>
      </w:r>
      <w:r w:rsidR="005041C2" w:rsidRPr="00577043">
        <w:rPr>
          <w:rFonts w:eastAsia="Times New Roman" w:cs="Times New Roman"/>
          <w:color w:val="000000"/>
          <w:lang w:eastAsia="da-DK"/>
        </w:rPr>
        <w:t xml:space="preserve">I </w:t>
      </w:r>
      <w:r w:rsidRPr="00577043">
        <w:rPr>
          <w:rFonts w:eastAsia="Times New Roman" w:cs="Times New Roman"/>
          <w:color w:val="000000"/>
          <w:lang w:eastAsia="da-DK"/>
        </w:rPr>
        <w:t xml:space="preserve">forbindelse med </w:t>
      </w:r>
      <w:r w:rsidR="005041C2" w:rsidRPr="00577043">
        <w:rPr>
          <w:rFonts w:eastAsia="Times New Roman" w:cs="Times New Roman"/>
          <w:color w:val="000000"/>
          <w:lang w:eastAsia="da-DK"/>
        </w:rPr>
        <w:t>ansøgning</w:t>
      </w:r>
      <w:r w:rsidRPr="00577043">
        <w:rPr>
          <w:rFonts w:eastAsia="Times New Roman" w:cs="Times New Roman"/>
          <w:color w:val="000000"/>
          <w:lang w:eastAsia="da-DK"/>
        </w:rPr>
        <w:t>er</w:t>
      </w:r>
      <w:r w:rsidR="005041C2" w:rsidRPr="00577043">
        <w:rPr>
          <w:rFonts w:eastAsia="Times New Roman" w:cs="Times New Roman"/>
          <w:color w:val="000000"/>
          <w:lang w:eastAsia="da-DK"/>
        </w:rPr>
        <w:t xml:space="preserve">, hvor Danmark er rapporterende medlemsstat, </w:t>
      </w:r>
      <w:r w:rsidR="004F796F" w:rsidRPr="00577043">
        <w:rPr>
          <w:rFonts w:eastAsia="Times New Roman" w:cs="Times New Roman"/>
          <w:color w:val="000000"/>
          <w:lang w:eastAsia="da-DK"/>
        </w:rPr>
        <w:t>foreslås</w:t>
      </w:r>
      <w:r w:rsidRPr="00577043">
        <w:rPr>
          <w:rFonts w:eastAsia="Times New Roman" w:cs="Times New Roman"/>
          <w:color w:val="000000"/>
          <w:lang w:eastAsia="da-DK"/>
        </w:rPr>
        <w:t xml:space="preserve"> </w:t>
      </w:r>
      <w:r w:rsidR="00FA434E" w:rsidRPr="00577043">
        <w:rPr>
          <w:rFonts w:eastAsia="Times New Roman" w:cs="Times New Roman"/>
          <w:color w:val="000000"/>
          <w:lang w:eastAsia="da-DK"/>
        </w:rPr>
        <w:t>det</w:t>
      </w:r>
      <w:r w:rsidRPr="00577043">
        <w:rPr>
          <w:rFonts w:eastAsia="Times New Roman" w:cs="Times New Roman"/>
          <w:color w:val="000000"/>
          <w:lang w:eastAsia="da-DK"/>
        </w:rPr>
        <w:t xml:space="preserve"> bl.a. fastsat, at </w:t>
      </w:r>
      <w:r w:rsidR="0058651B">
        <w:rPr>
          <w:rFonts w:eastAsia="Times New Roman" w:cs="Times New Roman"/>
          <w:color w:val="000000"/>
          <w:lang w:eastAsia="da-DK"/>
        </w:rPr>
        <w:t>Lægemiddelstyrelsen</w:t>
      </w:r>
      <w:r w:rsidR="004F796F" w:rsidRPr="00577043">
        <w:rPr>
          <w:rFonts w:eastAsia="Times New Roman" w:cs="Times New Roman"/>
          <w:color w:val="000000"/>
          <w:lang w:eastAsia="da-DK"/>
        </w:rPr>
        <w:t xml:space="preserve"> udarbejder</w:t>
      </w:r>
      <w:r w:rsidRPr="00577043">
        <w:rPr>
          <w:rFonts w:eastAsia="Times New Roman" w:cs="Times New Roman"/>
          <w:color w:val="000000"/>
          <w:lang w:eastAsia="da-DK"/>
        </w:rPr>
        <w:t xml:space="preserve"> den endelige vurderingsrapport del I</w:t>
      </w:r>
      <w:r w:rsidR="004A0A16" w:rsidRPr="00577043">
        <w:rPr>
          <w:rFonts w:eastAsia="Times New Roman" w:cs="Times New Roman"/>
          <w:color w:val="000000"/>
          <w:lang w:eastAsia="da-DK"/>
        </w:rPr>
        <w:t xml:space="preserve">, jf. forordningens </w:t>
      </w:r>
      <w:r w:rsidR="004F796F" w:rsidRPr="00577043">
        <w:rPr>
          <w:rFonts w:eastAsia="Times New Roman" w:cs="Times New Roman"/>
          <w:color w:val="000000"/>
          <w:lang w:eastAsia="da-DK"/>
        </w:rPr>
        <w:t>art.</w:t>
      </w:r>
      <w:r w:rsidR="004A0A16" w:rsidRPr="00577043">
        <w:rPr>
          <w:rFonts w:eastAsia="Times New Roman" w:cs="Times New Roman"/>
          <w:color w:val="000000"/>
          <w:lang w:eastAsia="da-DK"/>
        </w:rPr>
        <w:t xml:space="preserve"> 6</w:t>
      </w:r>
      <w:r w:rsidR="00C11213">
        <w:rPr>
          <w:rFonts w:eastAsia="Times New Roman" w:cs="Times New Roman"/>
          <w:color w:val="000000"/>
          <w:lang w:eastAsia="da-DK"/>
        </w:rPr>
        <w:t>. U</w:t>
      </w:r>
      <w:r w:rsidR="004F796F" w:rsidRPr="00577043">
        <w:rPr>
          <w:rFonts w:eastAsia="Times New Roman" w:cs="Times New Roman"/>
          <w:color w:val="000000"/>
          <w:lang w:eastAsia="da-DK"/>
        </w:rPr>
        <w:t>darbejdelsen</w:t>
      </w:r>
      <w:r w:rsidR="00274B07" w:rsidRPr="00577043">
        <w:rPr>
          <w:rFonts w:eastAsia="Times New Roman" w:cs="Times New Roman"/>
          <w:color w:val="000000"/>
          <w:lang w:eastAsia="da-DK"/>
        </w:rPr>
        <w:t xml:space="preserve"> koordinere</w:t>
      </w:r>
      <w:r w:rsidR="004F796F" w:rsidRPr="00577043">
        <w:rPr>
          <w:rFonts w:eastAsia="Times New Roman" w:cs="Times New Roman"/>
          <w:color w:val="000000"/>
          <w:lang w:eastAsia="da-DK"/>
        </w:rPr>
        <w:t>s</w:t>
      </w:r>
      <w:r w:rsidR="00274B07" w:rsidRPr="00577043">
        <w:rPr>
          <w:rFonts w:eastAsia="Times New Roman" w:cs="Times New Roman"/>
          <w:color w:val="000000"/>
          <w:lang w:eastAsia="da-DK"/>
        </w:rPr>
        <w:t xml:space="preserve"> med den videnskabsetiske lægemiddelkomité</w:t>
      </w:r>
      <w:r w:rsidR="00FA761D">
        <w:rPr>
          <w:rFonts w:eastAsia="Times New Roman" w:cs="Times New Roman"/>
          <w:color w:val="000000"/>
          <w:lang w:eastAsia="da-DK"/>
        </w:rPr>
        <w:t xml:space="preserve"> og de øvrige berørte medlemsstater</w:t>
      </w:r>
      <w:r w:rsidRPr="00577043">
        <w:rPr>
          <w:rFonts w:eastAsia="Times New Roman" w:cs="Times New Roman"/>
          <w:color w:val="000000"/>
          <w:lang w:eastAsia="da-DK"/>
        </w:rPr>
        <w:t>.</w:t>
      </w:r>
    </w:p>
    <w:p w14:paraId="0EDFD9F4" w14:textId="77777777" w:rsidR="005060CE" w:rsidRPr="00577043" w:rsidRDefault="005060CE" w:rsidP="005060CE">
      <w:pPr>
        <w:rPr>
          <w:rFonts w:eastAsia="Times New Roman" w:cs="Times New Roman"/>
          <w:color w:val="000000"/>
          <w:lang w:eastAsia="da-DK"/>
        </w:rPr>
      </w:pPr>
    </w:p>
    <w:p w14:paraId="3CB92927" w14:textId="77777777" w:rsidR="00DD4980" w:rsidRPr="00577043" w:rsidRDefault="00DD4980" w:rsidP="00DD4980">
      <w:pPr>
        <w:rPr>
          <w:rFonts w:eastAsia="Times New Roman" w:cs="Times New Roman"/>
          <w:bCs/>
          <w:color w:val="000000"/>
          <w:lang w:eastAsia="da-DK"/>
        </w:rPr>
      </w:pPr>
      <w:r w:rsidRPr="00577043">
        <w:rPr>
          <w:rFonts w:eastAsia="Times New Roman" w:cs="Times New Roman"/>
          <w:bCs/>
          <w:color w:val="000000"/>
          <w:lang w:eastAsia="da-DK"/>
        </w:rPr>
        <w:t xml:space="preserve">Er den rapporterende medlemsstats konklusion for så vidt angår del I af vurderingsrapporten, at gennemførelsen af de kliniske forsøg kan accepteres eller kan accepteres på særlige betingelser, anses den pågældende konklusion </w:t>
      </w:r>
      <w:r w:rsidR="008449B4" w:rsidRPr="00577043">
        <w:rPr>
          <w:rFonts w:eastAsia="Times New Roman" w:cs="Times New Roman"/>
          <w:bCs/>
          <w:color w:val="000000"/>
          <w:lang w:eastAsia="da-DK"/>
        </w:rPr>
        <w:t xml:space="preserve">som nævnt </w:t>
      </w:r>
      <w:r w:rsidRPr="00577043">
        <w:rPr>
          <w:rFonts w:eastAsia="Times New Roman" w:cs="Times New Roman"/>
          <w:bCs/>
          <w:color w:val="000000"/>
          <w:lang w:eastAsia="da-DK"/>
        </w:rPr>
        <w:t xml:space="preserve">for at være den berørte medlemsstats konklusion, jf. art. 8, stk. 2. </w:t>
      </w:r>
    </w:p>
    <w:p w14:paraId="266C89E5" w14:textId="77777777" w:rsidR="00DD4980" w:rsidRPr="00577043" w:rsidRDefault="00DD4980" w:rsidP="00DD4980">
      <w:pPr>
        <w:rPr>
          <w:rFonts w:eastAsia="Times New Roman" w:cs="Times New Roman"/>
          <w:bCs/>
          <w:color w:val="000000"/>
          <w:lang w:eastAsia="da-DK"/>
        </w:rPr>
      </w:pPr>
    </w:p>
    <w:p w14:paraId="2CF2F008" w14:textId="77777777" w:rsidR="00DD4980" w:rsidRPr="00577043" w:rsidRDefault="00DD4980" w:rsidP="00DD4980">
      <w:pPr>
        <w:rPr>
          <w:rFonts w:eastAsia="Times New Roman" w:cs="Times New Roman"/>
          <w:bCs/>
          <w:color w:val="000000"/>
          <w:lang w:eastAsia="da-DK"/>
        </w:rPr>
      </w:pPr>
      <w:r w:rsidRPr="00577043">
        <w:rPr>
          <w:rFonts w:eastAsia="Times New Roman" w:cs="Times New Roman"/>
          <w:bCs/>
          <w:color w:val="000000"/>
          <w:lang w:eastAsia="da-DK"/>
        </w:rPr>
        <w:t xml:space="preserve">Såfremt enten </w:t>
      </w:r>
      <w:r w:rsidR="0058651B">
        <w:rPr>
          <w:rFonts w:eastAsia="Times New Roman" w:cs="Times New Roman"/>
          <w:bCs/>
          <w:color w:val="000000"/>
          <w:lang w:eastAsia="da-DK"/>
        </w:rPr>
        <w:t>Lægemiddelstyrelsen</w:t>
      </w:r>
      <w:r w:rsidRPr="00577043">
        <w:rPr>
          <w:rFonts w:eastAsia="Times New Roman" w:cs="Times New Roman"/>
          <w:bCs/>
          <w:color w:val="000000"/>
          <w:lang w:eastAsia="da-DK"/>
        </w:rPr>
        <w:t xml:space="preserve"> eller den videnskabsetiske lægemiddelkomité for så vidt angår del I konkluderer, at gennemførelse af det kliniske forsøg ikke kan accepteres, er dette Danmarks konklusion</w:t>
      </w:r>
      <w:r w:rsidR="000367D8" w:rsidRPr="00577043">
        <w:rPr>
          <w:rFonts w:eastAsia="Times New Roman" w:cs="Times New Roman"/>
          <w:bCs/>
          <w:color w:val="000000"/>
          <w:lang w:eastAsia="da-DK"/>
        </w:rPr>
        <w:t xml:space="preserve">, jf. den foreslåede § </w:t>
      </w:r>
      <w:r w:rsidR="00781C0D">
        <w:rPr>
          <w:rFonts w:eastAsia="Times New Roman" w:cs="Times New Roman"/>
          <w:bCs/>
          <w:color w:val="000000"/>
          <w:lang w:eastAsia="da-DK"/>
        </w:rPr>
        <w:t>10</w:t>
      </w:r>
      <w:r w:rsidR="000367D8" w:rsidRPr="00577043">
        <w:rPr>
          <w:rFonts w:eastAsia="Times New Roman" w:cs="Times New Roman"/>
          <w:bCs/>
          <w:color w:val="000000"/>
          <w:lang w:eastAsia="da-DK"/>
        </w:rPr>
        <w:t>, stk. 2</w:t>
      </w:r>
      <w:r w:rsidRPr="00577043">
        <w:rPr>
          <w:rFonts w:eastAsia="Times New Roman" w:cs="Times New Roman"/>
          <w:bCs/>
          <w:color w:val="000000"/>
          <w:lang w:eastAsia="da-DK"/>
        </w:rPr>
        <w:t xml:space="preserve">. Tilsvarende gælder, at såfremt begge myndigheder er enige i, at forsøget kan accepteres, men </w:t>
      </w:r>
      <w:r w:rsidR="0058651B">
        <w:rPr>
          <w:rFonts w:eastAsia="Times New Roman" w:cs="Times New Roman"/>
          <w:bCs/>
          <w:color w:val="000000"/>
          <w:lang w:eastAsia="da-DK"/>
        </w:rPr>
        <w:t>Lægemiddelstyrelsen</w:t>
      </w:r>
      <w:r w:rsidRPr="00577043">
        <w:rPr>
          <w:rFonts w:eastAsia="Times New Roman" w:cs="Times New Roman"/>
          <w:bCs/>
          <w:color w:val="000000"/>
          <w:lang w:eastAsia="da-DK"/>
        </w:rPr>
        <w:t xml:space="preserve"> eller den videnskabsetiske lægemiddelkomité</w:t>
      </w:r>
      <w:r w:rsidR="008449B4" w:rsidRPr="00577043">
        <w:rPr>
          <w:rFonts w:eastAsia="Times New Roman" w:cs="Times New Roman"/>
          <w:bCs/>
          <w:color w:val="000000"/>
          <w:lang w:eastAsia="da-DK"/>
        </w:rPr>
        <w:t xml:space="preserve"> vurderer</w:t>
      </w:r>
      <w:r w:rsidRPr="00577043">
        <w:rPr>
          <w:rFonts w:eastAsia="Times New Roman" w:cs="Times New Roman"/>
          <w:bCs/>
          <w:color w:val="000000"/>
          <w:lang w:eastAsia="da-DK"/>
        </w:rPr>
        <w:t>, at forsøget alene kan accepteres på visse betingelser,</w:t>
      </w:r>
      <w:r w:rsidR="008449B4" w:rsidRPr="00577043">
        <w:rPr>
          <w:rFonts w:eastAsia="Times New Roman" w:cs="Times New Roman"/>
          <w:bCs/>
          <w:color w:val="000000"/>
          <w:lang w:eastAsia="da-DK"/>
        </w:rPr>
        <w:t xml:space="preserve"> </w:t>
      </w:r>
      <w:r w:rsidRPr="00577043">
        <w:rPr>
          <w:rFonts w:eastAsia="Times New Roman" w:cs="Times New Roman"/>
          <w:bCs/>
          <w:color w:val="000000"/>
          <w:lang w:eastAsia="da-DK"/>
        </w:rPr>
        <w:t>er Danmarks konklusion</w:t>
      </w:r>
      <w:r w:rsidR="008449B4" w:rsidRPr="00577043">
        <w:rPr>
          <w:rFonts w:eastAsia="Times New Roman" w:cs="Times New Roman"/>
          <w:bCs/>
          <w:color w:val="000000"/>
          <w:lang w:eastAsia="da-DK"/>
        </w:rPr>
        <w:t xml:space="preserve">, at forsøget kan accepteres dog kun på de betingelser, som er fremsat af </w:t>
      </w:r>
      <w:r w:rsidR="0058651B">
        <w:rPr>
          <w:rFonts w:eastAsia="Times New Roman" w:cs="Times New Roman"/>
          <w:bCs/>
          <w:color w:val="000000"/>
          <w:lang w:eastAsia="da-DK"/>
        </w:rPr>
        <w:t>Lægemiddelstyrelsen</w:t>
      </w:r>
      <w:r w:rsidR="008449B4" w:rsidRPr="00577043">
        <w:rPr>
          <w:rFonts w:eastAsia="Times New Roman" w:cs="Times New Roman"/>
          <w:bCs/>
          <w:color w:val="000000"/>
          <w:lang w:eastAsia="da-DK"/>
        </w:rPr>
        <w:t xml:space="preserve"> eller komiteen</w:t>
      </w:r>
      <w:r w:rsidRPr="00577043">
        <w:rPr>
          <w:rFonts w:eastAsia="Times New Roman" w:cs="Times New Roman"/>
          <w:bCs/>
          <w:color w:val="000000"/>
          <w:lang w:eastAsia="da-DK"/>
        </w:rPr>
        <w:t>.</w:t>
      </w:r>
      <w:r w:rsidR="00537DB1" w:rsidRPr="00577043">
        <w:rPr>
          <w:rFonts w:eastAsia="Times New Roman" w:cs="Times New Roman"/>
          <w:bCs/>
          <w:color w:val="000000"/>
          <w:lang w:eastAsia="da-DK"/>
        </w:rPr>
        <w:t xml:space="preserve"> </w:t>
      </w:r>
    </w:p>
    <w:p w14:paraId="7EEF3493" w14:textId="77777777" w:rsidR="00E61245" w:rsidRPr="00577043" w:rsidRDefault="00E61245" w:rsidP="005060CE">
      <w:pPr>
        <w:rPr>
          <w:rFonts w:eastAsia="Times New Roman" w:cs="Times New Roman"/>
          <w:color w:val="000000"/>
          <w:lang w:eastAsia="da-DK"/>
        </w:rPr>
      </w:pPr>
    </w:p>
    <w:p w14:paraId="39C0EB28" w14:textId="77777777" w:rsidR="002B2D91" w:rsidRPr="00577043" w:rsidRDefault="00287C8C" w:rsidP="005060CE">
      <w:pPr>
        <w:rPr>
          <w:rFonts w:eastAsia="Times New Roman" w:cs="Times New Roman"/>
          <w:color w:val="000000"/>
          <w:lang w:eastAsia="da-DK"/>
        </w:rPr>
      </w:pPr>
      <w:r w:rsidRPr="00577043">
        <w:rPr>
          <w:rFonts w:eastAsia="Times New Roman" w:cs="Times New Roman"/>
          <w:color w:val="000000"/>
          <w:lang w:eastAsia="da-DK"/>
        </w:rPr>
        <w:t>Den nævnte bemyndigelse vil endvidere blive benyttet til at fastsætte t</w:t>
      </w:r>
      <w:r w:rsidR="00E24666" w:rsidRPr="00577043">
        <w:rPr>
          <w:rFonts w:eastAsia="Times New Roman" w:cs="Times New Roman"/>
          <w:color w:val="000000"/>
          <w:lang w:eastAsia="da-DK"/>
        </w:rPr>
        <w:t>il</w:t>
      </w:r>
      <w:r w:rsidRPr="00577043">
        <w:rPr>
          <w:rFonts w:eastAsia="Times New Roman" w:cs="Times New Roman"/>
          <w:color w:val="000000"/>
          <w:lang w:eastAsia="da-DK"/>
        </w:rPr>
        <w:t xml:space="preserve">svarende bestemmelser </w:t>
      </w:r>
      <w:r w:rsidR="00E53C17">
        <w:rPr>
          <w:rFonts w:eastAsia="Times New Roman" w:cs="Times New Roman"/>
          <w:color w:val="000000"/>
          <w:lang w:eastAsia="da-DK"/>
        </w:rPr>
        <w:t>om</w:t>
      </w:r>
      <w:r w:rsidR="00920CE3" w:rsidRPr="00577043">
        <w:rPr>
          <w:rFonts w:eastAsia="Times New Roman" w:cs="Times New Roman"/>
          <w:color w:val="000000"/>
          <w:lang w:eastAsia="da-DK"/>
        </w:rPr>
        <w:t xml:space="preserve"> </w:t>
      </w:r>
      <w:r w:rsidRPr="00577043">
        <w:rPr>
          <w:rFonts w:eastAsia="Times New Roman" w:cs="Times New Roman"/>
          <w:color w:val="000000"/>
          <w:lang w:eastAsia="da-DK"/>
        </w:rPr>
        <w:t xml:space="preserve">ansøgninger om </w:t>
      </w:r>
      <w:r w:rsidR="00E24666" w:rsidRPr="00577043">
        <w:rPr>
          <w:rFonts w:eastAsia="Times New Roman" w:cs="Times New Roman"/>
          <w:color w:val="000000"/>
          <w:lang w:eastAsia="da-DK"/>
        </w:rPr>
        <w:t>efterfølgende udvidelse af forsøg med en berørt medlemsstat, jf. forordningens art</w:t>
      </w:r>
      <w:r w:rsidR="00B11E9B">
        <w:rPr>
          <w:rFonts w:eastAsia="Times New Roman" w:cs="Times New Roman"/>
          <w:color w:val="000000"/>
          <w:lang w:eastAsia="da-DK"/>
        </w:rPr>
        <w:t>ikel</w:t>
      </w:r>
      <w:r w:rsidR="00E24666" w:rsidRPr="00577043">
        <w:rPr>
          <w:rFonts w:eastAsia="Times New Roman" w:cs="Times New Roman"/>
          <w:color w:val="000000"/>
          <w:lang w:eastAsia="da-DK"/>
        </w:rPr>
        <w:t xml:space="preserve"> 14</w:t>
      </w:r>
      <w:r w:rsidR="00B2485C" w:rsidRPr="00577043">
        <w:rPr>
          <w:rFonts w:eastAsia="Times New Roman" w:cs="Times New Roman"/>
          <w:color w:val="000000"/>
          <w:lang w:eastAsia="da-DK"/>
        </w:rPr>
        <w:t xml:space="preserve"> og </w:t>
      </w:r>
      <w:r w:rsidR="00E53C17">
        <w:rPr>
          <w:rFonts w:eastAsia="Times New Roman" w:cs="Times New Roman"/>
          <w:color w:val="000000"/>
          <w:lang w:eastAsia="da-DK"/>
        </w:rPr>
        <w:t>om</w:t>
      </w:r>
      <w:r w:rsidR="00B2485C" w:rsidRPr="00577043">
        <w:rPr>
          <w:rFonts w:eastAsia="Times New Roman" w:cs="Times New Roman"/>
          <w:color w:val="000000"/>
          <w:lang w:eastAsia="da-DK"/>
        </w:rPr>
        <w:t xml:space="preserve"> ansøgninger om godkendelse af</w:t>
      </w:r>
      <w:r w:rsidR="00E24666" w:rsidRPr="00577043">
        <w:rPr>
          <w:rFonts w:eastAsia="Times New Roman" w:cs="Times New Roman"/>
          <w:color w:val="000000"/>
          <w:lang w:eastAsia="da-DK"/>
        </w:rPr>
        <w:t xml:space="preserve"> væsentlig</w:t>
      </w:r>
      <w:r w:rsidR="00B2485C" w:rsidRPr="00577043">
        <w:rPr>
          <w:rFonts w:eastAsia="Times New Roman" w:cs="Times New Roman"/>
          <w:color w:val="000000"/>
          <w:lang w:eastAsia="da-DK"/>
        </w:rPr>
        <w:t>e</w:t>
      </w:r>
      <w:r w:rsidR="00E24666" w:rsidRPr="00577043">
        <w:rPr>
          <w:rFonts w:eastAsia="Times New Roman" w:cs="Times New Roman"/>
          <w:color w:val="000000"/>
          <w:lang w:eastAsia="da-DK"/>
        </w:rPr>
        <w:t xml:space="preserve"> ændring</w:t>
      </w:r>
      <w:r w:rsidR="00B2485C" w:rsidRPr="00577043">
        <w:rPr>
          <w:rFonts w:eastAsia="Times New Roman" w:cs="Times New Roman"/>
          <w:color w:val="000000"/>
          <w:lang w:eastAsia="da-DK"/>
        </w:rPr>
        <w:t>er</w:t>
      </w:r>
      <w:r w:rsidR="00E24666" w:rsidRPr="00577043">
        <w:rPr>
          <w:rFonts w:eastAsia="Times New Roman" w:cs="Times New Roman"/>
          <w:color w:val="000000"/>
          <w:lang w:eastAsia="da-DK"/>
        </w:rPr>
        <w:t xml:space="preserve"> af </w:t>
      </w:r>
      <w:r w:rsidR="00B40ACC" w:rsidRPr="00577043">
        <w:rPr>
          <w:rFonts w:eastAsia="Times New Roman" w:cs="Times New Roman"/>
          <w:color w:val="000000"/>
          <w:lang w:eastAsia="da-DK"/>
        </w:rPr>
        <w:t>et klinisk forsøg, jf. forordningens kapitel III</w:t>
      </w:r>
      <w:r w:rsidR="00E24666" w:rsidRPr="00577043">
        <w:rPr>
          <w:rFonts w:eastAsia="Times New Roman" w:cs="Times New Roman"/>
          <w:color w:val="000000"/>
          <w:lang w:eastAsia="da-DK"/>
        </w:rPr>
        <w:t>.</w:t>
      </w:r>
    </w:p>
    <w:p w14:paraId="390A2BD5" w14:textId="77777777" w:rsidR="0018384D" w:rsidRPr="00577043" w:rsidRDefault="0018384D" w:rsidP="005060CE">
      <w:pPr>
        <w:rPr>
          <w:rFonts w:eastAsia="Times New Roman" w:cs="Times New Roman"/>
          <w:color w:val="000000"/>
          <w:lang w:eastAsia="da-DK"/>
        </w:rPr>
      </w:pPr>
    </w:p>
    <w:p w14:paraId="56405D19" w14:textId="77777777" w:rsidR="0018384D" w:rsidRPr="00577043" w:rsidRDefault="0058651B" w:rsidP="005060CE">
      <w:pPr>
        <w:rPr>
          <w:rFonts w:eastAsia="Times New Roman" w:cs="Times New Roman"/>
          <w:color w:val="000000"/>
          <w:lang w:eastAsia="da-DK"/>
        </w:rPr>
      </w:pPr>
      <w:r>
        <w:rPr>
          <w:rFonts w:eastAsia="Times New Roman" w:cs="Times New Roman"/>
          <w:color w:val="000000"/>
          <w:lang w:eastAsia="da-DK"/>
        </w:rPr>
        <w:t>Lægemiddelstyrelsen</w:t>
      </w:r>
      <w:r w:rsidR="0018384D" w:rsidRPr="00577043">
        <w:rPr>
          <w:rFonts w:eastAsia="Times New Roman" w:cs="Times New Roman"/>
          <w:color w:val="000000"/>
          <w:lang w:eastAsia="da-DK"/>
        </w:rPr>
        <w:t xml:space="preserve"> og den videnskabsetiske komité koordinerer behandlingen af ansøgninger, jf. den foreslåede § </w:t>
      </w:r>
      <w:r w:rsidR="001D7E16">
        <w:rPr>
          <w:rFonts w:eastAsia="Times New Roman" w:cs="Times New Roman"/>
          <w:color w:val="000000"/>
          <w:lang w:eastAsia="da-DK"/>
        </w:rPr>
        <w:t>9</w:t>
      </w:r>
      <w:r w:rsidR="0018384D" w:rsidRPr="00577043">
        <w:rPr>
          <w:rFonts w:eastAsia="Times New Roman" w:cs="Times New Roman"/>
          <w:color w:val="000000"/>
          <w:lang w:eastAsia="da-DK"/>
        </w:rPr>
        <w:t xml:space="preserve">, stk. 1. Det forudsættes, at styrelsen og de videnskabsetiske lægemiddelkomiteer aftaler </w:t>
      </w:r>
      <w:r w:rsidR="0018384D" w:rsidRPr="00577043">
        <w:rPr>
          <w:rFonts w:eastAsia="Times New Roman" w:cs="Times New Roman"/>
          <w:color w:val="000000"/>
          <w:lang w:eastAsia="da-DK"/>
        </w:rPr>
        <w:lastRenderedPageBreak/>
        <w:t>nærmere procedurer for denne koordinering</w:t>
      </w:r>
      <w:r w:rsidR="009F19D7">
        <w:rPr>
          <w:rFonts w:eastAsia="Times New Roman" w:cs="Times New Roman"/>
          <w:color w:val="000000"/>
          <w:lang w:eastAsia="da-DK"/>
        </w:rPr>
        <w:t xml:space="preserve"> i de tilfælde, hvor Danmark er rapporterende medlemsstat</w:t>
      </w:r>
      <w:r w:rsidR="0018384D" w:rsidRPr="00577043">
        <w:rPr>
          <w:rFonts w:eastAsia="Times New Roman" w:cs="Times New Roman"/>
          <w:color w:val="000000"/>
          <w:lang w:eastAsia="da-DK"/>
        </w:rPr>
        <w:t>, som det også forudsættes i de tilfælde, hvor Danmark er berørt medlemsstat.</w:t>
      </w:r>
    </w:p>
    <w:p w14:paraId="7E40764C" w14:textId="77777777" w:rsidR="00E24666" w:rsidRDefault="00E24666" w:rsidP="005060CE">
      <w:pPr>
        <w:rPr>
          <w:rFonts w:eastAsia="Times New Roman" w:cs="Times New Roman"/>
          <w:color w:val="000000"/>
          <w:lang w:eastAsia="da-DK"/>
        </w:rPr>
      </w:pPr>
    </w:p>
    <w:p w14:paraId="0A07493C" w14:textId="77777777" w:rsidR="00C80D63" w:rsidRPr="00577043" w:rsidRDefault="00C80D63" w:rsidP="00C80D63">
      <w:pPr>
        <w:pStyle w:val="Overskrift5"/>
        <w:rPr>
          <w:rFonts w:eastAsia="Times New Roman"/>
          <w:lang w:eastAsia="da-DK"/>
        </w:rPr>
      </w:pPr>
      <w:r w:rsidRPr="00577043">
        <w:rPr>
          <w:rFonts w:eastAsia="Times New Roman"/>
          <w:lang w:eastAsia="da-DK"/>
        </w:rPr>
        <w:t>2.2</w:t>
      </w:r>
      <w:r>
        <w:rPr>
          <w:rFonts w:eastAsia="Times New Roman"/>
          <w:lang w:eastAsia="da-DK"/>
        </w:rPr>
        <w:t>.2.6</w:t>
      </w:r>
      <w:r w:rsidRPr="00577043">
        <w:rPr>
          <w:rFonts w:eastAsia="Times New Roman"/>
          <w:lang w:eastAsia="da-DK"/>
        </w:rPr>
        <w:t xml:space="preserve">. Vurderingsrapportens del </w:t>
      </w:r>
      <w:r w:rsidRPr="00577043">
        <w:rPr>
          <w:rFonts w:eastAsia="Times New Roman" w:cs="Times New Roman"/>
          <w:bCs/>
          <w:color w:val="000000"/>
          <w:lang w:eastAsia="da-DK"/>
        </w:rPr>
        <w:t>II</w:t>
      </w:r>
    </w:p>
    <w:p w14:paraId="54912D94" w14:textId="77777777" w:rsidR="00C80D63" w:rsidRDefault="00C80D63" w:rsidP="00C80D63">
      <w:pPr>
        <w:rPr>
          <w:rFonts w:eastAsia="Times New Roman" w:cs="Times New Roman"/>
          <w:bCs/>
          <w:color w:val="000000"/>
          <w:lang w:eastAsia="da-DK"/>
        </w:rPr>
      </w:pPr>
      <w:r>
        <w:rPr>
          <w:rFonts w:eastAsia="Times New Roman" w:cs="Times New Roman"/>
          <w:bCs/>
          <w:color w:val="000000"/>
          <w:lang w:eastAsia="da-DK"/>
        </w:rPr>
        <w:t>De berørte medlemsstater skal hver især udarbejde en vurderingsrapport, del II. Baggrunden herfor er, at de videnskabsetiske aspekter, som er omfattet af del II så som informeret samtykke ifølge forordningen betragtes som aspekter af egentlig national karakter, jf. betragtning nr. 6.</w:t>
      </w:r>
    </w:p>
    <w:p w14:paraId="608E7C1A" w14:textId="77777777" w:rsidR="00C80D63" w:rsidRDefault="00C80D63" w:rsidP="00C80D63">
      <w:pPr>
        <w:rPr>
          <w:rFonts w:eastAsia="Times New Roman" w:cs="Times New Roman"/>
          <w:bCs/>
          <w:color w:val="000000"/>
          <w:lang w:eastAsia="da-DK"/>
        </w:rPr>
      </w:pPr>
    </w:p>
    <w:p w14:paraId="553BDC84" w14:textId="77777777" w:rsidR="00C80D63" w:rsidRPr="00577043" w:rsidRDefault="00C80D63" w:rsidP="00C80D63">
      <w:pPr>
        <w:rPr>
          <w:rFonts w:eastAsia="Times New Roman" w:cs="Times New Roman"/>
          <w:bCs/>
          <w:color w:val="000000"/>
          <w:lang w:eastAsia="da-DK"/>
        </w:rPr>
      </w:pPr>
      <w:r w:rsidRPr="00577043">
        <w:rPr>
          <w:rFonts w:eastAsia="Times New Roman" w:cs="Times New Roman"/>
          <w:bCs/>
          <w:color w:val="000000"/>
          <w:lang w:eastAsia="da-DK"/>
        </w:rPr>
        <w:t>Hver enkelt berørt medlemsstat skal færdiggøre del II af vurderingsrapporten senest 45 dage efter valideringsdatoen, og forelægge denne, herunder konklusionen, for sponsor, jf. forordningens art</w:t>
      </w:r>
      <w:r w:rsidR="0059104B">
        <w:rPr>
          <w:rFonts w:eastAsia="Times New Roman" w:cs="Times New Roman"/>
          <w:bCs/>
          <w:color w:val="000000"/>
          <w:lang w:eastAsia="da-DK"/>
        </w:rPr>
        <w:t>ikel</w:t>
      </w:r>
      <w:r w:rsidRPr="00577043">
        <w:rPr>
          <w:rFonts w:eastAsia="Times New Roman" w:cs="Times New Roman"/>
          <w:bCs/>
          <w:color w:val="000000"/>
          <w:lang w:eastAsia="da-DK"/>
        </w:rPr>
        <w:t xml:space="preserve"> 7. I de tilfælde, hvor vurderingen af en ansøgning skal omfatte både aspekter omfattet af del I og del II af vurderingsrapporten, skal komiteen således udarbejde vurderingsrapportens del II sideløbende med processen for del I af vurderingsrapporten.</w:t>
      </w:r>
    </w:p>
    <w:p w14:paraId="7487A372" w14:textId="77777777" w:rsidR="00C80D63" w:rsidRPr="00577043" w:rsidRDefault="00C80D63" w:rsidP="00C80D63">
      <w:pPr>
        <w:rPr>
          <w:rFonts w:eastAsia="Times New Roman" w:cs="Times New Roman"/>
          <w:bCs/>
          <w:color w:val="000000"/>
          <w:lang w:eastAsia="da-DK"/>
        </w:rPr>
      </w:pPr>
    </w:p>
    <w:p w14:paraId="1296310C" w14:textId="77777777" w:rsidR="00C80D63" w:rsidRPr="00577043" w:rsidRDefault="00C80D63" w:rsidP="00C80D63">
      <w:pPr>
        <w:rPr>
          <w:rFonts w:eastAsia="Times New Roman" w:cs="Times New Roman"/>
          <w:bCs/>
          <w:color w:val="000000"/>
          <w:lang w:eastAsia="da-DK"/>
        </w:rPr>
      </w:pPr>
      <w:r w:rsidRPr="00577043">
        <w:rPr>
          <w:rFonts w:eastAsia="Times New Roman" w:cs="Times New Roman"/>
          <w:bCs/>
          <w:color w:val="000000"/>
          <w:lang w:eastAsia="da-DK"/>
        </w:rPr>
        <w:t xml:space="preserve">Enhver berørt medlemsstat kan af begrundede årsager anmode om supplerende oplysninger fra sponsor </w:t>
      </w:r>
      <w:r w:rsidR="00E53C17">
        <w:rPr>
          <w:rFonts w:eastAsia="Times New Roman" w:cs="Times New Roman"/>
          <w:bCs/>
          <w:color w:val="000000"/>
          <w:lang w:eastAsia="da-DK"/>
        </w:rPr>
        <w:t>om</w:t>
      </w:r>
      <w:r w:rsidRPr="00577043">
        <w:rPr>
          <w:rFonts w:eastAsia="Times New Roman" w:cs="Times New Roman"/>
          <w:bCs/>
          <w:color w:val="000000"/>
          <w:lang w:eastAsia="da-DK"/>
        </w:rPr>
        <w:t xml:space="preserve"> aspekter omfattet af del II af vurderingsrapporten.  Den berørte medlemsstat færdiggør sin vurdering inden for højst 19 dage efter modtagelsen af de supplerende oplysninger.</w:t>
      </w:r>
    </w:p>
    <w:p w14:paraId="26E44ABD" w14:textId="77777777" w:rsidR="00C80D63" w:rsidRPr="00577043" w:rsidRDefault="00C80D63" w:rsidP="00C80D63">
      <w:pPr>
        <w:rPr>
          <w:rFonts w:eastAsia="Times New Roman" w:cs="Times New Roman"/>
          <w:bCs/>
          <w:color w:val="000000"/>
          <w:lang w:eastAsia="da-DK"/>
        </w:rPr>
      </w:pPr>
    </w:p>
    <w:p w14:paraId="1F14030A" w14:textId="77777777" w:rsidR="00C80D63" w:rsidRPr="00577043" w:rsidRDefault="00C80D63" w:rsidP="00C80D63">
      <w:pPr>
        <w:rPr>
          <w:rFonts w:eastAsia="Times New Roman" w:cs="Times New Roman"/>
          <w:bCs/>
          <w:color w:val="000000"/>
          <w:lang w:eastAsia="da-DK"/>
        </w:rPr>
      </w:pPr>
      <w:r w:rsidRPr="00577043">
        <w:rPr>
          <w:rFonts w:eastAsia="Times New Roman" w:cs="Times New Roman"/>
          <w:bCs/>
          <w:color w:val="000000"/>
          <w:lang w:eastAsia="da-DK"/>
        </w:rPr>
        <w:t xml:space="preserve">Det foreslås med § </w:t>
      </w:r>
      <w:r w:rsidR="001D7E16">
        <w:rPr>
          <w:rFonts w:eastAsia="Times New Roman" w:cs="Times New Roman"/>
          <w:bCs/>
          <w:color w:val="000000"/>
          <w:lang w:eastAsia="da-DK"/>
        </w:rPr>
        <w:t>10</w:t>
      </w:r>
      <w:r w:rsidRPr="00577043">
        <w:rPr>
          <w:rFonts w:eastAsia="Times New Roman" w:cs="Times New Roman"/>
          <w:bCs/>
          <w:color w:val="000000"/>
          <w:lang w:eastAsia="da-DK"/>
        </w:rPr>
        <w:t xml:space="preserve">, stk. </w:t>
      </w:r>
      <w:r w:rsidR="004170F4">
        <w:rPr>
          <w:rFonts w:eastAsia="Times New Roman" w:cs="Times New Roman"/>
          <w:bCs/>
          <w:color w:val="000000"/>
          <w:lang w:eastAsia="da-DK"/>
        </w:rPr>
        <w:t>5</w:t>
      </w:r>
      <w:r w:rsidRPr="00577043">
        <w:rPr>
          <w:rFonts w:eastAsia="Times New Roman" w:cs="Times New Roman"/>
          <w:bCs/>
          <w:color w:val="000000"/>
          <w:lang w:eastAsia="da-DK"/>
        </w:rPr>
        <w:t xml:space="preserve">, at en videnskabsetisk lægemiddelkomité udarbejder vurderingsrapportens del II. </w:t>
      </w:r>
    </w:p>
    <w:p w14:paraId="5DC549F5" w14:textId="77777777" w:rsidR="00C80D63" w:rsidRDefault="00C80D63" w:rsidP="00C80D63">
      <w:pPr>
        <w:rPr>
          <w:rFonts w:eastAsia="Times New Roman" w:cs="Times New Roman"/>
          <w:bCs/>
          <w:color w:val="000000"/>
          <w:lang w:eastAsia="da-DK"/>
        </w:rPr>
      </w:pPr>
    </w:p>
    <w:p w14:paraId="74B32619" w14:textId="77777777" w:rsidR="007D2410" w:rsidRPr="00577043" w:rsidRDefault="007D2410" w:rsidP="007D2410">
      <w:pPr>
        <w:rPr>
          <w:rFonts w:eastAsia="Times New Roman" w:cs="Times New Roman"/>
          <w:bCs/>
          <w:color w:val="000000"/>
          <w:lang w:eastAsia="da-DK"/>
        </w:rPr>
      </w:pPr>
    </w:p>
    <w:p w14:paraId="17C99514" w14:textId="77777777" w:rsidR="007D2410" w:rsidRPr="00577043" w:rsidRDefault="007D2410" w:rsidP="007D2410">
      <w:pPr>
        <w:rPr>
          <w:rFonts w:eastAsia="Times New Roman" w:cs="Times New Roman"/>
          <w:bCs/>
          <w:color w:val="000000"/>
          <w:lang w:eastAsia="da-DK"/>
        </w:rPr>
      </w:pPr>
      <w:r w:rsidRPr="00577043">
        <w:rPr>
          <w:rFonts w:eastAsia="Times New Roman" w:cs="Times New Roman"/>
          <w:bCs/>
          <w:color w:val="000000"/>
          <w:lang w:eastAsia="da-DK"/>
        </w:rPr>
        <w:t xml:space="preserve">Den videnskabsetiske lægemiddelkomité inddrager </w:t>
      </w:r>
      <w:r w:rsidR="0058651B">
        <w:rPr>
          <w:rFonts w:eastAsia="Times New Roman" w:cs="Times New Roman"/>
          <w:bCs/>
          <w:color w:val="000000"/>
          <w:lang w:eastAsia="da-DK"/>
        </w:rPr>
        <w:t>Lægemiddelstyrelsen</w:t>
      </w:r>
      <w:r w:rsidRPr="00577043">
        <w:rPr>
          <w:rFonts w:eastAsia="Times New Roman" w:cs="Times New Roman"/>
          <w:bCs/>
          <w:color w:val="000000"/>
          <w:lang w:eastAsia="da-DK"/>
        </w:rPr>
        <w:t xml:space="preserve">, hvis der er behov for sundhedsfaglige bidrag som grundlag for vurderingen til del II af vurderingsrapporten, jf. § </w:t>
      </w:r>
      <w:r w:rsidR="001D7E16">
        <w:rPr>
          <w:rFonts w:eastAsia="Times New Roman" w:cs="Times New Roman"/>
          <w:bCs/>
          <w:color w:val="000000"/>
          <w:lang w:eastAsia="da-DK"/>
        </w:rPr>
        <w:t>10</w:t>
      </w:r>
      <w:r w:rsidRPr="00577043">
        <w:rPr>
          <w:rFonts w:eastAsia="Times New Roman" w:cs="Times New Roman"/>
          <w:bCs/>
          <w:color w:val="000000"/>
          <w:lang w:eastAsia="da-DK"/>
        </w:rPr>
        <w:t>, stk. 1.</w:t>
      </w:r>
    </w:p>
    <w:p w14:paraId="2B68EDD1" w14:textId="77777777" w:rsidR="007D2410" w:rsidRPr="00577043" w:rsidRDefault="007D2410" w:rsidP="00C80D63">
      <w:pPr>
        <w:rPr>
          <w:rFonts w:eastAsia="Times New Roman" w:cs="Times New Roman"/>
          <w:bCs/>
          <w:color w:val="000000"/>
          <w:lang w:eastAsia="da-DK"/>
        </w:rPr>
      </w:pPr>
    </w:p>
    <w:p w14:paraId="737844B0" w14:textId="77777777" w:rsidR="00C80D63" w:rsidRPr="00577043" w:rsidRDefault="00C80D63" w:rsidP="005060CE">
      <w:pPr>
        <w:rPr>
          <w:rFonts w:eastAsia="Times New Roman" w:cs="Times New Roman"/>
          <w:color w:val="000000"/>
          <w:lang w:eastAsia="da-DK"/>
        </w:rPr>
      </w:pPr>
    </w:p>
    <w:p w14:paraId="67F00501" w14:textId="77777777" w:rsidR="00652CB4" w:rsidRPr="00577043" w:rsidRDefault="00652CB4" w:rsidP="005060CE">
      <w:pPr>
        <w:pStyle w:val="Overskrift5"/>
        <w:rPr>
          <w:rFonts w:eastAsia="Times New Roman"/>
          <w:lang w:eastAsia="da-DK"/>
        </w:rPr>
      </w:pPr>
      <w:r w:rsidRPr="00577043">
        <w:rPr>
          <w:rFonts w:eastAsia="Times New Roman"/>
          <w:lang w:eastAsia="da-DK"/>
        </w:rPr>
        <w:t>2.</w:t>
      </w:r>
      <w:r w:rsidR="001511E7" w:rsidRPr="00577043">
        <w:rPr>
          <w:rFonts w:eastAsia="Times New Roman"/>
          <w:lang w:eastAsia="da-DK"/>
        </w:rPr>
        <w:t>2</w:t>
      </w:r>
      <w:r w:rsidRPr="00577043">
        <w:rPr>
          <w:rFonts w:eastAsia="Times New Roman"/>
          <w:lang w:eastAsia="da-DK"/>
        </w:rPr>
        <w:t>.</w:t>
      </w:r>
      <w:r w:rsidR="005F14CA" w:rsidRPr="00577043">
        <w:rPr>
          <w:rFonts w:eastAsia="Times New Roman"/>
          <w:lang w:eastAsia="da-DK"/>
        </w:rPr>
        <w:t>2.7</w:t>
      </w:r>
      <w:r w:rsidRPr="00577043">
        <w:rPr>
          <w:rFonts w:eastAsia="Times New Roman"/>
          <w:lang w:eastAsia="da-DK"/>
        </w:rPr>
        <w:t xml:space="preserve">. </w:t>
      </w:r>
      <w:r w:rsidR="00910926" w:rsidRPr="00577043">
        <w:rPr>
          <w:rFonts w:eastAsia="Times New Roman"/>
          <w:lang w:eastAsia="da-DK"/>
        </w:rPr>
        <w:t xml:space="preserve">Afgørelse </w:t>
      </w:r>
      <w:r w:rsidR="00E53C17">
        <w:rPr>
          <w:rFonts w:eastAsia="Times New Roman"/>
          <w:lang w:eastAsia="da-DK"/>
        </w:rPr>
        <w:t>om</w:t>
      </w:r>
      <w:r w:rsidR="005D1ADC" w:rsidRPr="00577043">
        <w:rPr>
          <w:rFonts w:eastAsia="Times New Roman"/>
          <w:lang w:eastAsia="da-DK"/>
        </w:rPr>
        <w:t xml:space="preserve"> </w:t>
      </w:r>
      <w:r w:rsidR="002B7383" w:rsidRPr="00577043">
        <w:rPr>
          <w:rFonts w:eastAsia="Times New Roman"/>
          <w:lang w:eastAsia="da-DK"/>
        </w:rPr>
        <w:t>godkendelse af ansøgning</w:t>
      </w:r>
    </w:p>
    <w:p w14:paraId="7DFCD4F2" w14:textId="77777777" w:rsidR="00F62319" w:rsidRPr="00577043" w:rsidRDefault="007A3429" w:rsidP="00F62319">
      <w:pPr>
        <w:rPr>
          <w:rFonts w:eastAsia="Times New Roman" w:cs="Times New Roman"/>
          <w:bCs/>
          <w:color w:val="000000"/>
          <w:lang w:eastAsia="da-DK"/>
        </w:rPr>
      </w:pPr>
      <w:r w:rsidRPr="00577043">
        <w:rPr>
          <w:rFonts w:eastAsia="Times New Roman" w:cs="Times New Roman"/>
          <w:bCs/>
          <w:color w:val="000000"/>
          <w:lang w:eastAsia="da-DK"/>
        </w:rPr>
        <w:t xml:space="preserve">Hver berørt </w:t>
      </w:r>
      <w:r w:rsidR="00F62319" w:rsidRPr="00577043">
        <w:rPr>
          <w:rFonts w:eastAsia="Times New Roman" w:cs="Times New Roman"/>
          <w:bCs/>
          <w:color w:val="000000"/>
          <w:lang w:eastAsia="da-DK"/>
        </w:rPr>
        <w:t>medlemsstat skal ved hjælp af en enkelt afgørelse</w:t>
      </w:r>
      <w:r w:rsidR="00E90D13" w:rsidRPr="00577043">
        <w:rPr>
          <w:rFonts w:eastAsia="Times New Roman" w:cs="Times New Roman"/>
          <w:bCs/>
          <w:color w:val="000000"/>
          <w:lang w:eastAsia="da-DK"/>
        </w:rPr>
        <w:t xml:space="preserve"> </w:t>
      </w:r>
      <w:r w:rsidRPr="00577043">
        <w:rPr>
          <w:rFonts w:eastAsia="Times New Roman" w:cs="Times New Roman"/>
          <w:bCs/>
          <w:color w:val="000000"/>
          <w:lang w:eastAsia="da-DK"/>
        </w:rPr>
        <w:t>meddele sponsor, om det kliniske forsøg godkendes, om det godkendes på visse betingelser, eller om der gives afslag på godkendelse</w:t>
      </w:r>
      <w:r w:rsidR="000C1C38" w:rsidRPr="00577043">
        <w:rPr>
          <w:rFonts w:eastAsia="Times New Roman" w:cs="Times New Roman"/>
          <w:bCs/>
          <w:color w:val="000000"/>
          <w:lang w:eastAsia="da-DK"/>
        </w:rPr>
        <w:t>, jf. art</w:t>
      </w:r>
      <w:r w:rsidR="0059104B">
        <w:rPr>
          <w:rFonts w:eastAsia="Times New Roman" w:cs="Times New Roman"/>
          <w:bCs/>
          <w:color w:val="000000"/>
          <w:lang w:eastAsia="da-DK"/>
        </w:rPr>
        <w:t>ikel</w:t>
      </w:r>
      <w:r w:rsidR="00B2485C" w:rsidRPr="00577043">
        <w:rPr>
          <w:rFonts w:eastAsia="Times New Roman" w:cs="Times New Roman"/>
          <w:bCs/>
          <w:color w:val="000000"/>
          <w:lang w:eastAsia="da-DK"/>
        </w:rPr>
        <w:t xml:space="preserve"> </w:t>
      </w:r>
      <w:r w:rsidR="000C1C38" w:rsidRPr="00577043">
        <w:rPr>
          <w:rFonts w:eastAsia="Times New Roman" w:cs="Times New Roman"/>
          <w:bCs/>
          <w:color w:val="000000"/>
          <w:lang w:eastAsia="da-DK"/>
        </w:rPr>
        <w:t>8, stk. 1, i forordningen</w:t>
      </w:r>
      <w:r w:rsidR="005E7CD9" w:rsidRPr="00577043">
        <w:rPr>
          <w:rFonts w:eastAsia="Times New Roman" w:cs="Times New Roman"/>
          <w:bCs/>
          <w:color w:val="000000"/>
          <w:lang w:eastAsia="da-DK"/>
        </w:rPr>
        <w:t xml:space="preserve">. </w:t>
      </w:r>
      <w:r w:rsidR="00F62319" w:rsidRPr="00577043">
        <w:rPr>
          <w:rFonts w:eastAsia="Times New Roman" w:cs="Times New Roman"/>
          <w:color w:val="000000"/>
          <w:lang w:eastAsia="da-DK"/>
        </w:rPr>
        <w:t>En godkendelse af et klinisk forsøg på visse betingelser er begrænset til betingelser, som ifølge deres natur ikke kan opfyldes på tidspunktet for denne godkendelse.</w:t>
      </w:r>
    </w:p>
    <w:p w14:paraId="67824318" w14:textId="77777777" w:rsidR="007A3429" w:rsidRPr="00577043" w:rsidRDefault="007A3429" w:rsidP="000C1C38">
      <w:pPr>
        <w:rPr>
          <w:rFonts w:eastAsia="Times New Roman" w:cs="Times New Roman"/>
          <w:bCs/>
          <w:color w:val="000000"/>
          <w:lang w:eastAsia="da-DK"/>
        </w:rPr>
      </w:pPr>
    </w:p>
    <w:p w14:paraId="0B54E13D" w14:textId="77777777" w:rsidR="007A3429" w:rsidRPr="00577043" w:rsidRDefault="005E7CD9" w:rsidP="000C1C38">
      <w:pPr>
        <w:rPr>
          <w:rFonts w:eastAsia="Times New Roman" w:cs="Times New Roman"/>
          <w:color w:val="000000"/>
          <w:lang w:eastAsia="da-DK"/>
        </w:rPr>
      </w:pPr>
      <w:r w:rsidRPr="00577043">
        <w:rPr>
          <w:rFonts w:eastAsia="Times New Roman" w:cs="Times New Roman"/>
          <w:bCs/>
          <w:color w:val="000000"/>
          <w:lang w:eastAsia="da-DK"/>
        </w:rPr>
        <w:t>Meddelelsen sk</w:t>
      </w:r>
      <w:r w:rsidR="007A3429" w:rsidRPr="00577043">
        <w:rPr>
          <w:rFonts w:eastAsia="Times New Roman" w:cs="Times New Roman"/>
          <w:bCs/>
          <w:color w:val="000000"/>
          <w:lang w:eastAsia="da-DK"/>
        </w:rPr>
        <w:t xml:space="preserve">al ske </w:t>
      </w:r>
      <w:r w:rsidRPr="00577043">
        <w:rPr>
          <w:rFonts w:eastAsia="Times New Roman" w:cs="Times New Roman"/>
          <w:bCs/>
          <w:color w:val="000000"/>
          <w:lang w:eastAsia="da-DK"/>
        </w:rPr>
        <w:t>ved hjælp af en enkelt afgørels</w:t>
      </w:r>
      <w:r w:rsidR="007A3429" w:rsidRPr="00577043">
        <w:rPr>
          <w:rFonts w:eastAsia="Times New Roman" w:cs="Times New Roman"/>
          <w:bCs/>
          <w:color w:val="000000"/>
          <w:lang w:eastAsia="da-DK"/>
        </w:rPr>
        <w:t>e inden for 5 dage</w:t>
      </w:r>
      <w:r w:rsidR="000C1C38" w:rsidRPr="00577043">
        <w:rPr>
          <w:rFonts w:eastAsia="Times New Roman" w:cs="Times New Roman"/>
          <w:color w:val="000000"/>
          <w:lang w:eastAsia="da-DK"/>
        </w:rPr>
        <w:t xml:space="preserve"> </w:t>
      </w:r>
    </w:p>
    <w:p w14:paraId="52519BC1" w14:textId="77777777" w:rsidR="007C6AAD" w:rsidRPr="00577043" w:rsidRDefault="007C6AAD" w:rsidP="00CB2276">
      <w:pPr>
        <w:rPr>
          <w:rFonts w:eastAsia="Times New Roman" w:cs="Times New Roman"/>
          <w:bCs/>
          <w:color w:val="000000"/>
          <w:lang w:eastAsia="da-DK"/>
        </w:rPr>
      </w:pPr>
    </w:p>
    <w:p w14:paraId="1FD1169A" w14:textId="77777777" w:rsidR="00287024" w:rsidRPr="00577043" w:rsidRDefault="00287024" w:rsidP="00CB2276">
      <w:pPr>
        <w:rPr>
          <w:rFonts w:eastAsia="Times New Roman" w:cs="Times New Roman"/>
          <w:bCs/>
          <w:color w:val="000000"/>
          <w:lang w:eastAsia="da-DK"/>
        </w:rPr>
      </w:pPr>
      <w:r w:rsidRPr="00577043">
        <w:rPr>
          <w:rFonts w:eastAsia="Times New Roman" w:cs="Times New Roman"/>
          <w:bCs/>
          <w:color w:val="000000"/>
          <w:lang w:eastAsia="da-DK"/>
        </w:rPr>
        <w:t>Er den rapporterende medlemsstat</w:t>
      </w:r>
      <w:r w:rsidR="00F22A8C" w:rsidRPr="00577043">
        <w:rPr>
          <w:rFonts w:eastAsia="Times New Roman" w:cs="Times New Roman"/>
          <w:bCs/>
          <w:color w:val="000000"/>
          <w:lang w:eastAsia="da-DK"/>
        </w:rPr>
        <w:t xml:space="preserve">s konklusion for så vidt angår </w:t>
      </w:r>
      <w:r w:rsidRPr="00577043">
        <w:rPr>
          <w:rFonts w:eastAsia="Times New Roman" w:cs="Times New Roman"/>
          <w:bCs/>
          <w:color w:val="000000"/>
          <w:lang w:eastAsia="da-DK"/>
        </w:rPr>
        <w:t>del I af vurderingsrapporten, at gennemførelsen af det kliniske forsøg kan accepteres eller kan accepteres på særlig betingelser, anses den pågældende konklusion for at være den berørte medlemsstats konklusion, jf. forordningens artikel 8, stk. 2.</w:t>
      </w:r>
      <w:r w:rsidR="00372155" w:rsidRPr="00577043">
        <w:rPr>
          <w:rFonts w:eastAsia="Times New Roman" w:cs="Times New Roman"/>
          <w:bCs/>
          <w:color w:val="000000"/>
          <w:lang w:eastAsia="da-DK"/>
        </w:rPr>
        <w:t>, 1. afsnit</w:t>
      </w:r>
      <w:r w:rsidR="00497895">
        <w:rPr>
          <w:rFonts w:eastAsia="Times New Roman" w:cs="Times New Roman"/>
          <w:bCs/>
          <w:color w:val="000000"/>
          <w:lang w:eastAsia="da-DK"/>
        </w:rPr>
        <w:t>.</w:t>
      </w:r>
    </w:p>
    <w:p w14:paraId="335CE378" w14:textId="77777777" w:rsidR="006E5E85" w:rsidRPr="00577043" w:rsidRDefault="006E5E85" w:rsidP="00CB2276">
      <w:pPr>
        <w:rPr>
          <w:rFonts w:eastAsia="Times New Roman" w:cs="Times New Roman"/>
          <w:bCs/>
          <w:color w:val="000000"/>
          <w:lang w:eastAsia="da-DK"/>
        </w:rPr>
      </w:pPr>
    </w:p>
    <w:p w14:paraId="0D8F3E0D" w14:textId="77777777" w:rsidR="00215C4A" w:rsidRPr="00577043" w:rsidRDefault="00287024" w:rsidP="00CB2276">
      <w:pPr>
        <w:rPr>
          <w:rFonts w:eastAsia="Times New Roman" w:cs="Times New Roman"/>
          <w:bCs/>
          <w:color w:val="000000"/>
          <w:lang w:eastAsia="da-DK"/>
        </w:rPr>
      </w:pPr>
      <w:r w:rsidRPr="00577043">
        <w:rPr>
          <w:rFonts w:eastAsia="Times New Roman" w:cs="Times New Roman"/>
          <w:bCs/>
          <w:color w:val="000000"/>
          <w:lang w:eastAsia="da-DK"/>
        </w:rPr>
        <w:t xml:space="preserve">En berørt medlemsstat kan dog </w:t>
      </w:r>
      <w:r w:rsidR="00372155" w:rsidRPr="00577043">
        <w:rPr>
          <w:rFonts w:eastAsia="Times New Roman" w:cs="Times New Roman"/>
          <w:bCs/>
          <w:color w:val="000000"/>
          <w:lang w:eastAsia="da-DK"/>
        </w:rPr>
        <w:t xml:space="preserve">ifølge artikel 8, stk. 2, 2. afsnit, </w:t>
      </w:r>
      <w:r w:rsidRPr="00577043">
        <w:rPr>
          <w:rFonts w:eastAsia="Times New Roman" w:cs="Times New Roman"/>
          <w:bCs/>
          <w:color w:val="000000"/>
          <w:lang w:eastAsia="da-DK"/>
        </w:rPr>
        <w:t xml:space="preserve">erklære sig uenig i den </w:t>
      </w:r>
      <w:r w:rsidR="00215C4A" w:rsidRPr="00577043">
        <w:rPr>
          <w:rFonts w:eastAsia="Times New Roman" w:cs="Times New Roman"/>
          <w:bCs/>
          <w:color w:val="000000"/>
          <w:lang w:eastAsia="da-DK"/>
        </w:rPr>
        <w:t>rapporterende medlemsstats konklusion for så vidt angår del I af vurderingsrapporten</w:t>
      </w:r>
      <w:r w:rsidRPr="00577043">
        <w:rPr>
          <w:rFonts w:eastAsia="Times New Roman" w:cs="Times New Roman"/>
          <w:bCs/>
          <w:color w:val="000000"/>
          <w:lang w:eastAsia="da-DK"/>
        </w:rPr>
        <w:t>, men alene</w:t>
      </w:r>
      <w:r w:rsidR="00215C4A" w:rsidRPr="00577043">
        <w:rPr>
          <w:rFonts w:eastAsia="Times New Roman" w:cs="Times New Roman"/>
          <w:bCs/>
          <w:color w:val="000000"/>
          <w:lang w:eastAsia="da-DK"/>
        </w:rPr>
        <w:t xml:space="preserve"> af følgende grunde:</w:t>
      </w:r>
    </w:p>
    <w:p w14:paraId="4B4C28D4" w14:textId="77777777" w:rsidR="00372155" w:rsidRPr="00577043" w:rsidRDefault="00372155" w:rsidP="00372155">
      <w:pPr>
        <w:pStyle w:val="Listeafsnit"/>
        <w:rPr>
          <w:rFonts w:eastAsia="Times New Roman" w:cs="Times New Roman"/>
          <w:bCs/>
          <w:color w:val="000000"/>
          <w:lang w:eastAsia="da-DK"/>
        </w:rPr>
      </w:pPr>
    </w:p>
    <w:p w14:paraId="43C71805" w14:textId="77777777" w:rsidR="00215C4A" w:rsidRPr="00577043" w:rsidRDefault="00A15C25" w:rsidP="00CB2276">
      <w:pPr>
        <w:pStyle w:val="Listeafsnit"/>
        <w:numPr>
          <w:ilvl w:val="0"/>
          <w:numId w:val="13"/>
        </w:numPr>
        <w:rPr>
          <w:rFonts w:eastAsia="Times New Roman" w:cs="Times New Roman"/>
          <w:bCs/>
          <w:color w:val="000000"/>
          <w:lang w:eastAsia="da-DK"/>
        </w:rPr>
      </w:pPr>
      <w:r w:rsidRPr="00577043">
        <w:rPr>
          <w:rFonts w:eastAsia="Times New Roman" w:cs="Times New Roman"/>
          <w:bCs/>
          <w:color w:val="000000"/>
          <w:lang w:eastAsia="da-DK"/>
        </w:rPr>
        <w:t>N</w:t>
      </w:r>
      <w:r w:rsidR="00215C4A" w:rsidRPr="00577043">
        <w:rPr>
          <w:rFonts w:eastAsia="Times New Roman" w:cs="Times New Roman"/>
          <w:bCs/>
          <w:color w:val="000000"/>
          <w:lang w:eastAsia="da-DK"/>
        </w:rPr>
        <w:t>år den finder, at deltagelse i det kliniske forsøg ville føre til, at en forsøgsperson ville modtage en ringere behandling end i normal klinisk praksis i den berørte medlemsstat</w:t>
      </w:r>
      <w:r w:rsidRPr="00577043">
        <w:rPr>
          <w:rFonts w:eastAsia="Times New Roman" w:cs="Times New Roman"/>
          <w:bCs/>
          <w:color w:val="000000"/>
          <w:lang w:eastAsia="da-DK"/>
        </w:rPr>
        <w:t>.</w:t>
      </w:r>
    </w:p>
    <w:p w14:paraId="47F14AD6" w14:textId="77777777" w:rsidR="00C93938" w:rsidRPr="00577043" w:rsidRDefault="00C93938" w:rsidP="00C93938">
      <w:pPr>
        <w:pStyle w:val="Listeafsnit"/>
        <w:rPr>
          <w:rFonts w:eastAsia="Times New Roman" w:cs="Times New Roman"/>
          <w:bCs/>
          <w:color w:val="000000"/>
          <w:lang w:eastAsia="da-DK"/>
        </w:rPr>
      </w:pPr>
    </w:p>
    <w:p w14:paraId="0ED0D77A" w14:textId="77777777" w:rsidR="00215C4A" w:rsidRPr="00577043" w:rsidRDefault="00A15C25" w:rsidP="00CB2276">
      <w:pPr>
        <w:pStyle w:val="Listeafsnit"/>
        <w:numPr>
          <w:ilvl w:val="0"/>
          <w:numId w:val="13"/>
        </w:numPr>
        <w:rPr>
          <w:rFonts w:eastAsia="Times New Roman" w:cs="Times New Roman"/>
          <w:bCs/>
          <w:color w:val="000000"/>
          <w:lang w:eastAsia="da-DK"/>
        </w:rPr>
      </w:pPr>
      <w:r w:rsidRPr="00577043">
        <w:rPr>
          <w:rFonts w:eastAsia="Times New Roman" w:cs="Times New Roman"/>
          <w:bCs/>
          <w:color w:val="000000"/>
          <w:lang w:eastAsia="da-DK"/>
        </w:rPr>
        <w:t>O</w:t>
      </w:r>
      <w:r w:rsidR="00215C4A" w:rsidRPr="00577043">
        <w:rPr>
          <w:rFonts w:eastAsia="Times New Roman" w:cs="Times New Roman"/>
          <w:bCs/>
          <w:color w:val="000000"/>
          <w:lang w:eastAsia="da-DK"/>
        </w:rPr>
        <w:t xml:space="preserve">vertrædelse af den nationale lovgivning som omhandlet i forordningens artikel 90 </w:t>
      </w:r>
      <w:r w:rsidR="00795444" w:rsidRPr="00577043">
        <w:rPr>
          <w:rFonts w:eastAsia="Times New Roman" w:cs="Times New Roman"/>
          <w:bCs/>
          <w:color w:val="000000"/>
          <w:lang w:eastAsia="da-DK"/>
        </w:rPr>
        <w:t xml:space="preserve">vedrørende specifikke krav til særlige grupper af lægemidler, </w:t>
      </w:r>
      <w:r w:rsidR="00215C4A" w:rsidRPr="00577043">
        <w:rPr>
          <w:rFonts w:eastAsia="Times New Roman" w:cs="Times New Roman"/>
          <w:bCs/>
          <w:color w:val="000000"/>
          <w:lang w:eastAsia="da-DK"/>
        </w:rPr>
        <w:t>(national lovgivning, der forbyder eller begrænser anvendelsen af en særlig type humane eller animalske celler eller sal</w:t>
      </w:r>
      <w:r w:rsidRPr="00577043">
        <w:rPr>
          <w:rFonts w:eastAsia="Times New Roman" w:cs="Times New Roman"/>
          <w:bCs/>
          <w:color w:val="000000"/>
          <w:lang w:eastAsia="da-DK"/>
        </w:rPr>
        <w:t>g</w:t>
      </w:r>
      <w:r w:rsidR="00215C4A" w:rsidRPr="00577043">
        <w:rPr>
          <w:rFonts w:eastAsia="Times New Roman" w:cs="Times New Roman"/>
          <w:bCs/>
          <w:color w:val="000000"/>
          <w:lang w:eastAsia="da-DK"/>
        </w:rPr>
        <w:t>, udlevering eller brug af lægemidler, der indeholder, består af eller er fremstillet af sådanne celler, eller lægemidler, der anvendes som abortfremkaldende midler, eller lægemidler, der indeholder narkotiske stoffer som defineret i de gældende relevante internationale konventioner</w:t>
      </w:r>
      <w:r w:rsidR="00143147">
        <w:rPr>
          <w:rFonts w:eastAsia="Times New Roman" w:cs="Times New Roman"/>
          <w:bCs/>
          <w:color w:val="000000"/>
          <w:lang w:eastAsia="da-DK"/>
        </w:rPr>
        <w:t>)</w:t>
      </w:r>
      <w:r w:rsidR="00795444" w:rsidRPr="00577043">
        <w:rPr>
          <w:rFonts w:eastAsia="Times New Roman" w:cs="Times New Roman"/>
          <w:bCs/>
          <w:color w:val="000000"/>
          <w:lang w:eastAsia="da-DK"/>
        </w:rPr>
        <w:t>. Ifølge art</w:t>
      </w:r>
      <w:r w:rsidR="0059104B">
        <w:rPr>
          <w:rFonts w:eastAsia="Times New Roman" w:cs="Times New Roman"/>
          <w:bCs/>
          <w:color w:val="000000"/>
          <w:lang w:eastAsia="da-DK"/>
        </w:rPr>
        <w:t>ikel</w:t>
      </w:r>
      <w:r w:rsidR="00795444" w:rsidRPr="00577043">
        <w:rPr>
          <w:rFonts w:eastAsia="Times New Roman" w:cs="Times New Roman"/>
          <w:bCs/>
          <w:color w:val="000000"/>
          <w:lang w:eastAsia="da-DK"/>
        </w:rPr>
        <w:t xml:space="preserve"> 90 må der endvidere ikke foretages kliniske forsøg med genterapi, der medfører ændringer i forsøgspersonens kønscellers genetiske identitet</w:t>
      </w:r>
      <w:r w:rsidR="00215C4A" w:rsidRPr="00577043">
        <w:rPr>
          <w:rFonts w:eastAsia="Times New Roman" w:cs="Times New Roman"/>
          <w:bCs/>
          <w:color w:val="000000"/>
          <w:lang w:eastAsia="da-DK"/>
        </w:rPr>
        <w:t>)</w:t>
      </w:r>
      <w:r w:rsidRPr="00577043">
        <w:rPr>
          <w:rFonts w:eastAsia="Times New Roman" w:cs="Times New Roman"/>
          <w:bCs/>
          <w:color w:val="000000"/>
          <w:lang w:eastAsia="da-DK"/>
        </w:rPr>
        <w:t>.</w:t>
      </w:r>
    </w:p>
    <w:p w14:paraId="7CE70DBA" w14:textId="77777777" w:rsidR="00C93938" w:rsidRPr="00577043" w:rsidRDefault="00C93938" w:rsidP="00C93938">
      <w:pPr>
        <w:pStyle w:val="Listeafsnit"/>
        <w:rPr>
          <w:rFonts w:eastAsia="Times New Roman" w:cs="Times New Roman"/>
          <w:bCs/>
          <w:color w:val="000000"/>
          <w:lang w:eastAsia="da-DK"/>
        </w:rPr>
      </w:pPr>
    </w:p>
    <w:p w14:paraId="4706916E" w14:textId="77777777" w:rsidR="00215C4A" w:rsidRPr="00577043" w:rsidRDefault="00A15C25" w:rsidP="00CB2276">
      <w:pPr>
        <w:pStyle w:val="Listeafsnit"/>
        <w:numPr>
          <w:ilvl w:val="0"/>
          <w:numId w:val="13"/>
        </w:numPr>
        <w:rPr>
          <w:rFonts w:eastAsia="Times New Roman" w:cs="Times New Roman"/>
          <w:bCs/>
          <w:color w:val="000000"/>
          <w:lang w:eastAsia="da-DK"/>
        </w:rPr>
      </w:pPr>
      <w:r w:rsidRPr="00577043">
        <w:rPr>
          <w:rFonts w:eastAsia="Times New Roman" w:cs="Times New Roman"/>
          <w:bCs/>
          <w:color w:val="000000"/>
          <w:lang w:eastAsia="da-DK"/>
        </w:rPr>
        <w:t>O</w:t>
      </w:r>
      <w:r w:rsidR="00215C4A" w:rsidRPr="00577043">
        <w:rPr>
          <w:rFonts w:eastAsia="Times New Roman" w:cs="Times New Roman"/>
          <w:bCs/>
          <w:color w:val="000000"/>
          <w:lang w:eastAsia="da-DK"/>
        </w:rPr>
        <w:t xml:space="preserve">vervejelser vedrørende forsøgspersonens sikkerhed og dataenes pålidelighed og robusthed, som er fremlagt i henhold til artikel </w:t>
      </w:r>
      <w:r w:rsidR="0086472A" w:rsidRPr="00577043">
        <w:rPr>
          <w:rFonts w:eastAsia="Times New Roman" w:cs="Times New Roman"/>
          <w:bCs/>
          <w:color w:val="000000"/>
          <w:lang w:eastAsia="da-DK"/>
        </w:rPr>
        <w:t>6</w:t>
      </w:r>
      <w:r w:rsidR="00215C4A" w:rsidRPr="00577043">
        <w:rPr>
          <w:rFonts w:eastAsia="Times New Roman" w:cs="Times New Roman"/>
          <w:bCs/>
          <w:color w:val="000000"/>
          <w:lang w:eastAsia="da-DK"/>
        </w:rPr>
        <w:t xml:space="preserve">, stk. 5 eller </w:t>
      </w:r>
      <w:r w:rsidR="0086472A" w:rsidRPr="00577043">
        <w:rPr>
          <w:rFonts w:eastAsia="Times New Roman" w:cs="Times New Roman"/>
          <w:bCs/>
          <w:color w:val="000000"/>
          <w:lang w:eastAsia="da-DK"/>
        </w:rPr>
        <w:t>8</w:t>
      </w:r>
      <w:r w:rsidR="00215C4A" w:rsidRPr="00577043">
        <w:rPr>
          <w:rFonts w:eastAsia="Times New Roman" w:cs="Times New Roman"/>
          <w:bCs/>
          <w:color w:val="000000"/>
          <w:lang w:eastAsia="da-DK"/>
        </w:rPr>
        <w:t xml:space="preserve"> i forordningen.</w:t>
      </w:r>
      <w:r w:rsidR="00C41BEF" w:rsidRPr="00577043">
        <w:rPr>
          <w:rFonts w:eastAsia="Times New Roman" w:cs="Times New Roman"/>
          <w:bCs/>
          <w:color w:val="000000"/>
          <w:lang w:eastAsia="da-DK"/>
        </w:rPr>
        <w:t xml:space="preserve"> </w:t>
      </w:r>
    </w:p>
    <w:p w14:paraId="62060259" w14:textId="77777777" w:rsidR="00215C4A" w:rsidRPr="00577043" w:rsidRDefault="00215C4A" w:rsidP="00CB2276">
      <w:pPr>
        <w:rPr>
          <w:rFonts w:eastAsia="Times New Roman" w:cs="Times New Roman"/>
          <w:bCs/>
          <w:color w:val="000000"/>
          <w:lang w:eastAsia="da-DK"/>
        </w:rPr>
      </w:pPr>
    </w:p>
    <w:p w14:paraId="1B9504EC" w14:textId="77777777" w:rsidR="00F22A8C" w:rsidRPr="00577043" w:rsidRDefault="00A33230" w:rsidP="00CB2276">
      <w:pPr>
        <w:rPr>
          <w:rFonts w:eastAsia="Times New Roman" w:cs="Times New Roman"/>
          <w:bCs/>
          <w:color w:val="000000"/>
          <w:lang w:eastAsia="da-DK"/>
        </w:rPr>
      </w:pPr>
      <w:r w:rsidRPr="00577043">
        <w:rPr>
          <w:rFonts w:eastAsia="Times New Roman" w:cs="Times New Roman"/>
          <w:bCs/>
          <w:color w:val="000000"/>
          <w:lang w:eastAsia="da-DK"/>
        </w:rPr>
        <w:t>En berørt medlemsstat afviser ifølge forordningens artikel 8, stk. 4</w:t>
      </w:r>
      <w:r w:rsidR="00405A0D" w:rsidRPr="00577043">
        <w:rPr>
          <w:rFonts w:eastAsia="Times New Roman" w:cs="Times New Roman"/>
          <w:bCs/>
          <w:color w:val="000000"/>
          <w:lang w:eastAsia="da-DK"/>
        </w:rPr>
        <w:t xml:space="preserve">, </w:t>
      </w:r>
      <w:r w:rsidRPr="00577043">
        <w:rPr>
          <w:rFonts w:eastAsia="Times New Roman" w:cs="Times New Roman"/>
          <w:bCs/>
          <w:color w:val="000000"/>
          <w:lang w:eastAsia="da-DK"/>
        </w:rPr>
        <w:t>at godkende et k</w:t>
      </w:r>
      <w:r w:rsidR="00DC13CB" w:rsidRPr="00577043">
        <w:rPr>
          <w:rFonts w:eastAsia="Times New Roman" w:cs="Times New Roman"/>
          <w:bCs/>
          <w:color w:val="000000"/>
          <w:lang w:eastAsia="da-DK"/>
        </w:rPr>
        <w:t xml:space="preserve">linisk forsøg, hvis den </w:t>
      </w:r>
      <w:r w:rsidR="001E06A2" w:rsidRPr="00577043">
        <w:rPr>
          <w:rFonts w:eastAsia="Times New Roman" w:cs="Times New Roman"/>
          <w:bCs/>
          <w:color w:val="000000"/>
          <w:lang w:eastAsia="da-DK"/>
        </w:rPr>
        <w:t xml:space="preserve">er </w:t>
      </w:r>
      <w:r w:rsidR="00DC13CB" w:rsidRPr="00577043">
        <w:rPr>
          <w:rFonts w:eastAsia="Times New Roman" w:cs="Times New Roman"/>
          <w:bCs/>
          <w:color w:val="000000"/>
          <w:lang w:eastAsia="da-DK"/>
        </w:rPr>
        <w:t>u</w:t>
      </w:r>
      <w:r w:rsidRPr="00577043">
        <w:rPr>
          <w:rFonts w:eastAsia="Times New Roman" w:cs="Times New Roman"/>
          <w:bCs/>
          <w:color w:val="000000"/>
          <w:lang w:eastAsia="da-DK"/>
        </w:rPr>
        <w:t>enig i den rapporterende medlemsstats konklusioner for så vidt angår del I af vurderingsrapporten af nogen af de grunde, som er anført i forordningens a</w:t>
      </w:r>
      <w:r w:rsidR="00372155" w:rsidRPr="00577043">
        <w:rPr>
          <w:rFonts w:eastAsia="Times New Roman" w:cs="Times New Roman"/>
          <w:bCs/>
          <w:color w:val="000000"/>
          <w:lang w:eastAsia="da-DK"/>
        </w:rPr>
        <w:t xml:space="preserve">rtikel 8, stk. 2, andet afsnit, </w:t>
      </w:r>
      <w:r w:rsidR="000B0866">
        <w:rPr>
          <w:rFonts w:eastAsia="Times New Roman" w:cs="Times New Roman"/>
          <w:bCs/>
          <w:color w:val="000000"/>
          <w:lang w:eastAsia="da-DK"/>
        </w:rPr>
        <w:t xml:space="preserve">jf. ovenfor, </w:t>
      </w:r>
      <w:r w:rsidRPr="00577043">
        <w:rPr>
          <w:rFonts w:eastAsia="Times New Roman" w:cs="Times New Roman"/>
          <w:bCs/>
          <w:color w:val="000000"/>
          <w:lang w:eastAsia="da-DK"/>
        </w:rPr>
        <w:t xml:space="preserve">eller hvis den af behørigt begrundede årsager finder, at aspekterne omfattet af del II af vurderingsrapporten ikke er overholdt, eller hvis en etisk komité har afgivet en negativ udtalelse, som i henhold til lovgivningen i den berørte medlemsstat, gælder for hele den pågældende medlemsstat. </w:t>
      </w:r>
      <w:r w:rsidR="000C35FA" w:rsidRPr="00577043">
        <w:rPr>
          <w:rFonts w:eastAsia="Times New Roman" w:cs="Times New Roman"/>
          <w:bCs/>
          <w:color w:val="000000"/>
          <w:lang w:eastAsia="da-DK"/>
        </w:rPr>
        <w:t xml:space="preserve">En berørt medlemsstat kan </w:t>
      </w:r>
      <w:r w:rsidR="00AC0507" w:rsidRPr="00577043">
        <w:rPr>
          <w:rFonts w:eastAsia="Times New Roman" w:cs="Times New Roman"/>
          <w:bCs/>
          <w:color w:val="000000"/>
          <w:lang w:eastAsia="da-DK"/>
        </w:rPr>
        <w:t xml:space="preserve">således </w:t>
      </w:r>
      <w:r w:rsidR="000C35FA" w:rsidRPr="00577043">
        <w:rPr>
          <w:rFonts w:eastAsia="Times New Roman" w:cs="Times New Roman"/>
          <w:bCs/>
          <w:color w:val="000000"/>
          <w:lang w:eastAsia="da-DK"/>
        </w:rPr>
        <w:t>alene afvise et forsøg på baggrund af de i forordningen fastsat kriterier.</w:t>
      </w:r>
    </w:p>
    <w:p w14:paraId="3EEA9D7D" w14:textId="77777777" w:rsidR="00F22A8C" w:rsidRPr="00577043" w:rsidRDefault="00F22A8C" w:rsidP="00CB2276">
      <w:pPr>
        <w:rPr>
          <w:rFonts w:eastAsia="Times New Roman" w:cs="Times New Roman"/>
          <w:bCs/>
          <w:color w:val="000000"/>
          <w:lang w:eastAsia="da-DK"/>
        </w:rPr>
      </w:pPr>
    </w:p>
    <w:p w14:paraId="49A89063" w14:textId="77777777" w:rsidR="00A33230" w:rsidRPr="00577043" w:rsidRDefault="00EC583C" w:rsidP="00CB2276">
      <w:pPr>
        <w:rPr>
          <w:rFonts w:eastAsia="Times New Roman" w:cs="Times New Roman"/>
          <w:bCs/>
          <w:color w:val="000000"/>
          <w:lang w:eastAsia="da-DK"/>
        </w:rPr>
      </w:pPr>
      <w:r w:rsidRPr="00577043">
        <w:rPr>
          <w:rFonts w:eastAsia="Times New Roman" w:cs="Times New Roman"/>
          <w:bCs/>
          <w:color w:val="000000"/>
          <w:lang w:eastAsia="da-DK"/>
        </w:rPr>
        <w:t>Mht.</w:t>
      </w:r>
      <w:r w:rsidR="00405A0D" w:rsidRPr="00577043">
        <w:rPr>
          <w:rFonts w:eastAsia="Times New Roman" w:cs="Times New Roman"/>
          <w:bCs/>
          <w:color w:val="000000"/>
          <w:lang w:eastAsia="da-DK"/>
        </w:rPr>
        <w:t xml:space="preserve"> sidste led i</w:t>
      </w:r>
      <w:r w:rsidRPr="00577043">
        <w:rPr>
          <w:rFonts w:eastAsia="Times New Roman" w:cs="Times New Roman"/>
          <w:bCs/>
          <w:color w:val="000000"/>
          <w:lang w:eastAsia="da-DK"/>
        </w:rPr>
        <w:t xml:space="preserve"> den nævnte art</w:t>
      </w:r>
      <w:r w:rsidR="00DE284E">
        <w:rPr>
          <w:rFonts w:eastAsia="Times New Roman" w:cs="Times New Roman"/>
          <w:bCs/>
          <w:color w:val="000000"/>
          <w:lang w:eastAsia="da-DK"/>
        </w:rPr>
        <w:t>ikel</w:t>
      </w:r>
      <w:r w:rsidR="00405A0D" w:rsidRPr="00577043">
        <w:rPr>
          <w:rFonts w:eastAsia="Times New Roman" w:cs="Times New Roman"/>
          <w:bCs/>
          <w:color w:val="000000"/>
          <w:lang w:eastAsia="da-DK"/>
        </w:rPr>
        <w:t xml:space="preserve"> 8, stk. </w:t>
      </w:r>
      <w:r w:rsidR="00E341BD" w:rsidRPr="00577043">
        <w:rPr>
          <w:rFonts w:eastAsia="Times New Roman" w:cs="Times New Roman"/>
          <w:bCs/>
          <w:color w:val="000000"/>
          <w:lang w:eastAsia="da-DK"/>
        </w:rPr>
        <w:t>4</w:t>
      </w:r>
      <w:r w:rsidR="00405A0D" w:rsidRPr="00577043">
        <w:rPr>
          <w:rFonts w:eastAsia="Times New Roman" w:cs="Times New Roman"/>
          <w:bCs/>
          <w:color w:val="000000"/>
          <w:lang w:eastAsia="da-DK"/>
        </w:rPr>
        <w:t xml:space="preserve">, </w:t>
      </w:r>
      <w:r w:rsidRPr="00577043">
        <w:rPr>
          <w:rFonts w:eastAsia="Times New Roman" w:cs="Times New Roman"/>
          <w:bCs/>
          <w:color w:val="000000"/>
          <w:lang w:eastAsia="da-DK"/>
        </w:rPr>
        <w:t xml:space="preserve">bemærkes det, </w:t>
      </w:r>
      <w:r w:rsidR="00405A0D" w:rsidRPr="00577043">
        <w:rPr>
          <w:rFonts w:eastAsia="Times New Roman" w:cs="Times New Roman"/>
          <w:bCs/>
          <w:color w:val="000000"/>
          <w:lang w:eastAsia="da-DK"/>
        </w:rPr>
        <w:t>at en videnskabsetisk lægemiddelkomité i Danmark træffer afgørelse, som gælder for hele landet, og der vil således ikke være en anden videnskabsetisk komité, som kan afgive en negativ udtalelse, der fører til, at et klinisk forsøg afvises.</w:t>
      </w:r>
    </w:p>
    <w:p w14:paraId="62B806D8" w14:textId="77777777" w:rsidR="005E7CD9" w:rsidRPr="00577043" w:rsidRDefault="005E7CD9" w:rsidP="00CB2276">
      <w:pPr>
        <w:rPr>
          <w:rFonts w:eastAsia="Times New Roman" w:cs="Times New Roman"/>
          <w:bCs/>
          <w:color w:val="000000"/>
          <w:lang w:eastAsia="da-DK"/>
        </w:rPr>
      </w:pPr>
    </w:p>
    <w:p w14:paraId="48EB875A" w14:textId="77777777" w:rsidR="00AB2EDD" w:rsidRPr="00577043" w:rsidRDefault="00AB2EDD" w:rsidP="00AB2EDD">
      <w:pPr>
        <w:rPr>
          <w:rFonts w:eastAsia="Times New Roman" w:cs="Times New Roman"/>
          <w:bCs/>
          <w:color w:val="000000"/>
          <w:lang w:eastAsia="da-DK"/>
        </w:rPr>
      </w:pPr>
      <w:r>
        <w:rPr>
          <w:rFonts w:eastAsia="Times New Roman" w:cs="Times New Roman"/>
          <w:bCs/>
          <w:color w:val="000000"/>
          <w:lang w:eastAsia="da-DK"/>
        </w:rPr>
        <w:t xml:space="preserve">Hvis </w:t>
      </w:r>
      <w:r w:rsidRPr="00577043">
        <w:rPr>
          <w:rFonts w:eastAsia="Times New Roman" w:cs="Times New Roman"/>
          <w:bCs/>
          <w:color w:val="000000"/>
          <w:lang w:eastAsia="da-DK"/>
        </w:rPr>
        <w:t>den rapporterende medlemsstats konklusion for så vidt angår del I af vurderingsrapporten</w:t>
      </w:r>
      <w:r>
        <w:rPr>
          <w:rFonts w:eastAsia="Times New Roman" w:cs="Times New Roman"/>
          <w:bCs/>
          <w:color w:val="000000"/>
          <w:lang w:eastAsia="da-DK"/>
        </w:rPr>
        <w:t xml:space="preserve"> er,</w:t>
      </w:r>
      <w:r w:rsidRPr="00577043">
        <w:rPr>
          <w:rFonts w:eastAsia="Times New Roman" w:cs="Times New Roman"/>
          <w:bCs/>
          <w:color w:val="000000"/>
          <w:lang w:eastAsia="da-DK"/>
        </w:rPr>
        <w:t xml:space="preserve"> at gennemførelsen af det kliniske forsøg ikke kan accepteres, anses denne konklusion for at være gældende for alle berørte medlemsstater, jf. forordningens artikel 8, stk. 5.</w:t>
      </w:r>
    </w:p>
    <w:p w14:paraId="0EB45D57" w14:textId="77777777" w:rsidR="00AB2EDD" w:rsidRDefault="00AB2EDD" w:rsidP="00047C77">
      <w:pPr>
        <w:rPr>
          <w:rFonts w:eastAsia="Times New Roman" w:cs="Times New Roman"/>
          <w:bCs/>
          <w:color w:val="000000"/>
          <w:lang w:eastAsia="da-DK"/>
        </w:rPr>
      </w:pPr>
    </w:p>
    <w:p w14:paraId="386D9DAF" w14:textId="77777777" w:rsidR="00047C77" w:rsidRPr="00577043" w:rsidRDefault="00047C77" w:rsidP="00047C77">
      <w:pPr>
        <w:rPr>
          <w:rFonts w:eastAsia="Times New Roman" w:cs="Times New Roman"/>
          <w:bCs/>
          <w:color w:val="000000"/>
          <w:lang w:eastAsia="da-DK"/>
        </w:rPr>
      </w:pPr>
      <w:r w:rsidRPr="00577043">
        <w:rPr>
          <w:rFonts w:eastAsia="Times New Roman" w:cs="Times New Roman"/>
          <w:bCs/>
          <w:color w:val="000000"/>
          <w:lang w:eastAsia="da-DK"/>
        </w:rPr>
        <w:t>Har den berørte medlemsstat ikke meddelt sponsor sin afgørelse inden for de angivne frister</w:t>
      </w:r>
      <w:r w:rsidR="005C437A" w:rsidRPr="00577043">
        <w:rPr>
          <w:rFonts w:eastAsia="Times New Roman" w:cs="Times New Roman"/>
          <w:bCs/>
          <w:color w:val="000000"/>
          <w:lang w:eastAsia="da-DK"/>
        </w:rPr>
        <w:t xml:space="preserve"> i art</w:t>
      </w:r>
      <w:r w:rsidR="00DE284E">
        <w:rPr>
          <w:rFonts w:eastAsia="Times New Roman" w:cs="Times New Roman"/>
          <w:bCs/>
          <w:color w:val="000000"/>
          <w:lang w:eastAsia="da-DK"/>
        </w:rPr>
        <w:t>ikel</w:t>
      </w:r>
      <w:r w:rsidR="005C437A" w:rsidRPr="00577043">
        <w:rPr>
          <w:rFonts w:eastAsia="Times New Roman" w:cs="Times New Roman"/>
          <w:bCs/>
          <w:color w:val="000000"/>
          <w:lang w:eastAsia="da-DK"/>
        </w:rPr>
        <w:t xml:space="preserve"> 8, stk. 1</w:t>
      </w:r>
      <w:r w:rsidRPr="00577043">
        <w:rPr>
          <w:rFonts w:eastAsia="Times New Roman" w:cs="Times New Roman"/>
          <w:bCs/>
          <w:color w:val="000000"/>
          <w:lang w:eastAsia="da-DK"/>
        </w:rPr>
        <w:t xml:space="preserve">, anses konklusionen </w:t>
      </w:r>
      <w:r w:rsidR="00E53C17">
        <w:rPr>
          <w:rFonts w:eastAsia="Times New Roman" w:cs="Times New Roman"/>
          <w:bCs/>
          <w:color w:val="000000"/>
          <w:lang w:eastAsia="da-DK"/>
        </w:rPr>
        <w:t>om</w:t>
      </w:r>
      <w:r w:rsidRPr="00577043">
        <w:rPr>
          <w:rFonts w:eastAsia="Times New Roman" w:cs="Times New Roman"/>
          <w:bCs/>
          <w:color w:val="000000"/>
          <w:lang w:eastAsia="da-DK"/>
        </w:rPr>
        <w:t xml:space="preserve"> del I af vurderingsrapporten fra den rapporterende medlemsstat for at være den berørte medlemsstats afgørelse, jf. art</w:t>
      </w:r>
      <w:r w:rsidR="006F7844">
        <w:rPr>
          <w:rFonts w:eastAsia="Times New Roman" w:cs="Times New Roman"/>
          <w:bCs/>
          <w:color w:val="000000"/>
          <w:lang w:eastAsia="da-DK"/>
        </w:rPr>
        <w:t>ikel</w:t>
      </w:r>
      <w:r w:rsidRPr="00577043">
        <w:rPr>
          <w:rFonts w:eastAsia="Times New Roman" w:cs="Times New Roman"/>
          <w:bCs/>
          <w:color w:val="000000"/>
          <w:lang w:eastAsia="da-DK"/>
        </w:rPr>
        <w:t xml:space="preserve"> 8, stk. 6</w:t>
      </w:r>
      <w:r w:rsidR="00C97E71" w:rsidRPr="00577043">
        <w:rPr>
          <w:rFonts w:eastAsia="Times New Roman" w:cs="Times New Roman"/>
          <w:bCs/>
          <w:color w:val="000000"/>
          <w:lang w:eastAsia="da-DK"/>
        </w:rPr>
        <w:t>,</w:t>
      </w:r>
      <w:r w:rsidRPr="00577043">
        <w:rPr>
          <w:rFonts w:eastAsia="Times New Roman" w:cs="Times New Roman"/>
          <w:bCs/>
          <w:color w:val="000000"/>
          <w:lang w:eastAsia="da-DK"/>
        </w:rPr>
        <w:t xml:space="preserve"> i forordningen. </w:t>
      </w:r>
    </w:p>
    <w:p w14:paraId="60471C90" w14:textId="77777777" w:rsidR="00047C77" w:rsidRPr="00577043" w:rsidRDefault="00047C77" w:rsidP="00CB2276">
      <w:pPr>
        <w:rPr>
          <w:rFonts w:eastAsia="Times New Roman" w:cs="Times New Roman"/>
          <w:bCs/>
          <w:color w:val="000000"/>
          <w:lang w:eastAsia="da-DK"/>
        </w:rPr>
      </w:pPr>
    </w:p>
    <w:p w14:paraId="231F9FEC" w14:textId="77777777" w:rsidR="00494C21" w:rsidRPr="00577043" w:rsidRDefault="00A4393D" w:rsidP="00A4393D">
      <w:pPr>
        <w:rPr>
          <w:rFonts w:eastAsia="Times New Roman" w:cs="Times New Roman"/>
          <w:bCs/>
          <w:color w:val="000000"/>
          <w:lang w:eastAsia="da-DK"/>
        </w:rPr>
      </w:pPr>
      <w:r w:rsidRPr="00577043">
        <w:rPr>
          <w:rFonts w:eastAsia="Times New Roman" w:cs="Times New Roman"/>
          <w:bCs/>
          <w:color w:val="000000"/>
          <w:lang w:eastAsia="da-DK"/>
        </w:rPr>
        <w:t>Som nævnt i afsnit 2.1.</w:t>
      </w:r>
      <w:r w:rsidR="005445B9">
        <w:rPr>
          <w:rFonts w:eastAsia="Times New Roman" w:cs="Times New Roman"/>
          <w:bCs/>
          <w:color w:val="000000"/>
          <w:lang w:eastAsia="da-DK"/>
        </w:rPr>
        <w:t>1.</w:t>
      </w:r>
      <w:r w:rsidRPr="00577043">
        <w:rPr>
          <w:rFonts w:eastAsia="Times New Roman" w:cs="Times New Roman"/>
          <w:bCs/>
          <w:color w:val="000000"/>
          <w:lang w:eastAsia="da-DK"/>
        </w:rPr>
        <w:t xml:space="preserve"> forudsætter godkendelse af et klinisk forsøg med lægemidler efter gældende regler </w:t>
      </w:r>
      <w:r w:rsidR="0058651B">
        <w:rPr>
          <w:rFonts w:eastAsia="Times New Roman" w:cs="Times New Roman"/>
          <w:bCs/>
          <w:color w:val="000000"/>
          <w:lang w:eastAsia="da-DK"/>
        </w:rPr>
        <w:t>Lægemiddelstyrelsen</w:t>
      </w:r>
      <w:r w:rsidRPr="00577043">
        <w:rPr>
          <w:rFonts w:eastAsia="Times New Roman" w:cs="Times New Roman"/>
          <w:bCs/>
          <w:color w:val="000000"/>
          <w:lang w:eastAsia="da-DK"/>
        </w:rPr>
        <w:t xml:space="preserve">s godkendelse, jf. lov om lægemidler, og den kompetente videnskabsetiske komités afgørelse, jf. komitéloven. </w:t>
      </w:r>
    </w:p>
    <w:p w14:paraId="0F46F1E3" w14:textId="77777777" w:rsidR="00494C21" w:rsidRPr="00577043" w:rsidRDefault="00494C21" w:rsidP="00A4393D">
      <w:pPr>
        <w:rPr>
          <w:rFonts w:eastAsia="Times New Roman" w:cs="Times New Roman"/>
          <w:bCs/>
          <w:color w:val="000000"/>
          <w:lang w:eastAsia="da-DK"/>
        </w:rPr>
      </w:pPr>
    </w:p>
    <w:p w14:paraId="2FBA3A14" w14:textId="77777777" w:rsidR="00CD0950" w:rsidRPr="00577043" w:rsidRDefault="00A4393D" w:rsidP="00A4393D">
      <w:pPr>
        <w:rPr>
          <w:rFonts w:eastAsia="Times New Roman" w:cs="Times New Roman"/>
          <w:bCs/>
          <w:color w:val="000000"/>
          <w:lang w:eastAsia="da-DK"/>
        </w:rPr>
      </w:pPr>
      <w:r w:rsidRPr="00577043">
        <w:rPr>
          <w:rFonts w:eastAsia="Times New Roman" w:cs="Times New Roman"/>
          <w:bCs/>
          <w:color w:val="000000"/>
          <w:lang w:eastAsia="da-DK"/>
        </w:rPr>
        <w:t>Da det følger af forordningen, at hver berørt medlemsstat skal meddele en afgørelse ved hjælp af en enkelt afgørelse, foreslås det</w:t>
      </w:r>
      <w:r w:rsidR="00EE2754">
        <w:rPr>
          <w:rFonts w:eastAsia="Times New Roman" w:cs="Times New Roman"/>
          <w:bCs/>
          <w:color w:val="000000"/>
          <w:lang w:eastAsia="da-DK"/>
        </w:rPr>
        <w:t xml:space="preserve"> med § </w:t>
      </w:r>
      <w:r w:rsidR="001D7E16">
        <w:rPr>
          <w:rFonts w:eastAsia="Times New Roman" w:cs="Times New Roman"/>
          <w:bCs/>
          <w:color w:val="000000"/>
          <w:lang w:eastAsia="da-DK"/>
        </w:rPr>
        <w:t>10</w:t>
      </w:r>
      <w:r w:rsidR="00EE2754">
        <w:rPr>
          <w:rFonts w:eastAsia="Times New Roman" w:cs="Times New Roman"/>
          <w:bCs/>
          <w:color w:val="000000"/>
          <w:lang w:eastAsia="da-DK"/>
        </w:rPr>
        <w:t>, stk. 1</w:t>
      </w:r>
      <w:r w:rsidRPr="00577043">
        <w:rPr>
          <w:rFonts w:eastAsia="Times New Roman" w:cs="Times New Roman"/>
          <w:bCs/>
          <w:color w:val="000000"/>
          <w:lang w:eastAsia="da-DK"/>
        </w:rPr>
        <w:t xml:space="preserve">, at afgørelsen træffes af </w:t>
      </w:r>
      <w:r w:rsidR="0058651B">
        <w:rPr>
          <w:rFonts w:eastAsia="Times New Roman" w:cs="Times New Roman"/>
          <w:bCs/>
          <w:color w:val="000000"/>
          <w:lang w:eastAsia="da-DK"/>
        </w:rPr>
        <w:t>Lægemiddelstyrelsen</w:t>
      </w:r>
      <w:r w:rsidRPr="00577043">
        <w:rPr>
          <w:rFonts w:eastAsia="Times New Roman" w:cs="Times New Roman"/>
          <w:bCs/>
          <w:color w:val="000000"/>
          <w:lang w:eastAsia="da-DK"/>
        </w:rPr>
        <w:t xml:space="preserve">, men at </w:t>
      </w:r>
      <w:r w:rsidR="0058651B">
        <w:rPr>
          <w:rFonts w:eastAsia="Times New Roman" w:cs="Times New Roman"/>
          <w:bCs/>
          <w:color w:val="000000"/>
          <w:lang w:eastAsia="da-DK"/>
        </w:rPr>
        <w:t>Lægemiddelstyrelsen</w:t>
      </w:r>
      <w:r w:rsidRPr="00577043">
        <w:rPr>
          <w:rFonts w:eastAsia="Times New Roman" w:cs="Times New Roman"/>
          <w:bCs/>
          <w:color w:val="000000"/>
          <w:lang w:eastAsia="da-DK"/>
        </w:rPr>
        <w:t xml:space="preserve">s afgørelse forudsætter, at </w:t>
      </w:r>
      <w:r w:rsidR="003F1389" w:rsidRPr="00577043">
        <w:rPr>
          <w:rFonts w:eastAsia="Times New Roman" w:cs="Times New Roman"/>
          <w:bCs/>
          <w:color w:val="000000"/>
          <w:lang w:eastAsia="da-DK"/>
        </w:rPr>
        <w:t xml:space="preserve">også </w:t>
      </w:r>
      <w:r w:rsidRPr="00577043">
        <w:rPr>
          <w:rFonts w:eastAsia="Times New Roman" w:cs="Times New Roman"/>
          <w:bCs/>
          <w:color w:val="000000"/>
          <w:lang w:eastAsia="da-DK"/>
        </w:rPr>
        <w:t>den videnskabsetiske lægemiddelkomité kan godkende forsøget</w:t>
      </w:r>
      <w:r w:rsidR="003F1389" w:rsidRPr="00577043">
        <w:rPr>
          <w:rFonts w:eastAsia="Times New Roman" w:cs="Times New Roman"/>
          <w:bCs/>
          <w:color w:val="000000"/>
          <w:lang w:eastAsia="da-DK"/>
        </w:rPr>
        <w:t xml:space="preserve">, jf. </w:t>
      </w:r>
      <w:r w:rsidR="00EE2754">
        <w:rPr>
          <w:rFonts w:eastAsia="Times New Roman" w:cs="Times New Roman"/>
          <w:bCs/>
          <w:color w:val="000000"/>
          <w:lang w:eastAsia="da-DK"/>
        </w:rPr>
        <w:t xml:space="preserve">§ </w:t>
      </w:r>
      <w:r w:rsidR="001D7E16">
        <w:rPr>
          <w:rFonts w:eastAsia="Times New Roman" w:cs="Times New Roman"/>
          <w:bCs/>
          <w:color w:val="000000"/>
          <w:lang w:eastAsia="da-DK"/>
        </w:rPr>
        <w:t>10</w:t>
      </w:r>
      <w:r w:rsidR="00EE2754">
        <w:rPr>
          <w:rFonts w:eastAsia="Times New Roman" w:cs="Times New Roman"/>
          <w:bCs/>
          <w:color w:val="000000"/>
          <w:lang w:eastAsia="da-DK"/>
        </w:rPr>
        <w:t>, stk.</w:t>
      </w:r>
      <w:r w:rsidR="00B819D0">
        <w:rPr>
          <w:rFonts w:eastAsia="Times New Roman" w:cs="Times New Roman"/>
          <w:bCs/>
          <w:color w:val="000000"/>
          <w:lang w:eastAsia="da-DK"/>
        </w:rPr>
        <w:t xml:space="preserve"> </w:t>
      </w:r>
      <w:r w:rsidR="001D7E16">
        <w:rPr>
          <w:rFonts w:eastAsia="Times New Roman" w:cs="Times New Roman"/>
          <w:bCs/>
          <w:color w:val="000000"/>
          <w:lang w:eastAsia="da-DK"/>
        </w:rPr>
        <w:t>6</w:t>
      </w:r>
      <w:r w:rsidR="00EE2754">
        <w:rPr>
          <w:rFonts w:eastAsia="Times New Roman" w:cs="Times New Roman"/>
          <w:bCs/>
          <w:color w:val="000000"/>
          <w:lang w:eastAsia="da-DK"/>
        </w:rPr>
        <w:t xml:space="preserve">, som beskrevet </w:t>
      </w:r>
      <w:r w:rsidR="003F1389" w:rsidRPr="00577043">
        <w:rPr>
          <w:rFonts w:eastAsia="Times New Roman" w:cs="Times New Roman"/>
          <w:bCs/>
          <w:color w:val="000000"/>
          <w:lang w:eastAsia="da-DK"/>
        </w:rPr>
        <w:t>nedenfor</w:t>
      </w:r>
      <w:r w:rsidRPr="00577043">
        <w:rPr>
          <w:rFonts w:eastAsia="Times New Roman" w:cs="Times New Roman"/>
          <w:bCs/>
          <w:color w:val="000000"/>
          <w:lang w:eastAsia="da-DK"/>
        </w:rPr>
        <w:t xml:space="preserve">. </w:t>
      </w:r>
    </w:p>
    <w:p w14:paraId="1652D5FA" w14:textId="77777777" w:rsidR="00AF0152" w:rsidRPr="00577043" w:rsidRDefault="00AF0152" w:rsidP="00AF0152">
      <w:pPr>
        <w:rPr>
          <w:rFonts w:eastAsia="Times New Roman" w:cs="Times New Roman"/>
          <w:bCs/>
          <w:color w:val="000000"/>
          <w:lang w:eastAsia="da-DK"/>
        </w:rPr>
      </w:pPr>
    </w:p>
    <w:p w14:paraId="02E7A0F4" w14:textId="77777777" w:rsidR="00AF0152" w:rsidRPr="00577043" w:rsidRDefault="00195BD6" w:rsidP="00AF0152">
      <w:pPr>
        <w:rPr>
          <w:rFonts w:eastAsia="Times New Roman" w:cs="Times New Roman"/>
          <w:bCs/>
          <w:color w:val="000000"/>
          <w:lang w:eastAsia="da-DK"/>
        </w:rPr>
      </w:pPr>
      <w:r>
        <w:rPr>
          <w:rFonts w:eastAsia="Times New Roman" w:cs="Times New Roman"/>
          <w:bCs/>
          <w:color w:val="000000"/>
          <w:lang w:eastAsia="da-DK"/>
        </w:rPr>
        <w:t>Danmarks a</w:t>
      </w:r>
      <w:r w:rsidR="00AF0152" w:rsidRPr="00577043">
        <w:rPr>
          <w:rFonts w:eastAsia="Times New Roman" w:cs="Times New Roman"/>
          <w:bCs/>
          <w:color w:val="000000"/>
          <w:lang w:eastAsia="da-DK"/>
        </w:rPr>
        <w:t>fgørelse om godkendelse, godkendelse på vilkår eller afvisningen af forsøget skal meddeles sponsor via EU portalen senest 5 dage efter</w:t>
      </w:r>
      <w:r w:rsidR="00A36792" w:rsidRPr="00577043">
        <w:rPr>
          <w:rFonts w:eastAsia="Times New Roman" w:cs="Times New Roman"/>
          <w:bCs/>
          <w:color w:val="000000"/>
          <w:lang w:eastAsia="da-DK"/>
        </w:rPr>
        <w:t xml:space="preserve">, </w:t>
      </w:r>
      <w:r w:rsidR="0035702E" w:rsidRPr="00577043">
        <w:rPr>
          <w:rFonts w:eastAsia="Times New Roman" w:cs="Times New Roman"/>
          <w:bCs/>
          <w:color w:val="000000"/>
          <w:lang w:eastAsia="da-DK"/>
        </w:rPr>
        <w:t xml:space="preserve">at </w:t>
      </w:r>
      <w:r w:rsidR="00A36792" w:rsidRPr="00577043">
        <w:rPr>
          <w:rFonts w:eastAsia="Times New Roman" w:cs="Times New Roman"/>
          <w:bCs/>
          <w:color w:val="000000"/>
          <w:lang w:eastAsia="da-DK"/>
        </w:rPr>
        <w:t>den rapporterende medlemsstat har forelagt den endelige del I af vurderingsrapporten, jf. art</w:t>
      </w:r>
      <w:r w:rsidR="006F7844">
        <w:rPr>
          <w:rFonts w:eastAsia="Times New Roman" w:cs="Times New Roman"/>
          <w:bCs/>
          <w:color w:val="000000"/>
          <w:lang w:eastAsia="da-DK"/>
        </w:rPr>
        <w:t>ikel</w:t>
      </w:r>
      <w:r w:rsidR="00A36792" w:rsidRPr="00577043">
        <w:rPr>
          <w:rFonts w:eastAsia="Times New Roman" w:cs="Times New Roman"/>
          <w:bCs/>
          <w:color w:val="000000"/>
          <w:lang w:eastAsia="da-DK"/>
        </w:rPr>
        <w:t xml:space="preserve"> 6, stk. 5,</w:t>
      </w:r>
      <w:r w:rsidR="00AF0152" w:rsidRPr="00577043">
        <w:rPr>
          <w:rFonts w:eastAsia="Times New Roman" w:cs="Times New Roman"/>
          <w:bCs/>
          <w:color w:val="000000"/>
          <w:lang w:eastAsia="da-DK"/>
        </w:rPr>
        <w:t xml:space="preserve"> eller den dag, vurderingen af del II af forsøget er afsluttet</w:t>
      </w:r>
      <w:r w:rsidR="00A36792" w:rsidRPr="00577043">
        <w:rPr>
          <w:rFonts w:eastAsia="Times New Roman" w:cs="Times New Roman"/>
          <w:bCs/>
          <w:color w:val="000000"/>
          <w:lang w:eastAsia="da-DK"/>
        </w:rPr>
        <w:t>,</w:t>
      </w:r>
      <w:r w:rsidR="00AF0152" w:rsidRPr="00577043">
        <w:rPr>
          <w:rFonts w:eastAsia="Times New Roman" w:cs="Times New Roman"/>
          <w:bCs/>
          <w:color w:val="000000"/>
          <w:lang w:eastAsia="da-DK"/>
        </w:rPr>
        <w:t xml:space="preserve"> jf. art</w:t>
      </w:r>
      <w:r w:rsidR="006F7844">
        <w:rPr>
          <w:rFonts w:eastAsia="Times New Roman" w:cs="Times New Roman"/>
          <w:bCs/>
          <w:color w:val="000000"/>
          <w:lang w:eastAsia="da-DK"/>
        </w:rPr>
        <w:t>ikel</w:t>
      </w:r>
      <w:r w:rsidR="00AF0152" w:rsidRPr="00577043">
        <w:rPr>
          <w:rFonts w:eastAsia="Times New Roman" w:cs="Times New Roman"/>
          <w:bCs/>
          <w:color w:val="000000"/>
          <w:lang w:eastAsia="da-DK"/>
        </w:rPr>
        <w:t xml:space="preserve"> 7, stk. 2, og 3, afhængig af hvilket tidspunkt, der er senest, jf. art</w:t>
      </w:r>
      <w:r w:rsidR="006F7844">
        <w:rPr>
          <w:rFonts w:eastAsia="Times New Roman" w:cs="Times New Roman"/>
          <w:bCs/>
          <w:color w:val="000000"/>
          <w:lang w:eastAsia="da-DK"/>
        </w:rPr>
        <w:t>ikel</w:t>
      </w:r>
      <w:r w:rsidR="00AF0152" w:rsidRPr="00577043">
        <w:rPr>
          <w:rFonts w:eastAsia="Times New Roman" w:cs="Times New Roman"/>
          <w:bCs/>
          <w:color w:val="000000"/>
          <w:lang w:eastAsia="da-DK"/>
        </w:rPr>
        <w:t xml:space="preserve"> 8, stk. 1.</w:t>
      </w:r>
    </w:p>
    <w:p w14:paraId="0B166EE9" w14:textId="77777777" w:rsidR="00AF0152" w:rsidRPr="00577043" w:rsidRDefault="00AF0152" w:rsidP="00CB2276">
      <w:pPr>
        <w:rPr>
          <w:rFonts w:eastAsia="Times New Roman" w:cs="Times New Roman"/>
          <w:bCs/>
          <w:color w:val="000000"/>
          <w:lang w:eastAsia="da-DK"/>
        </w:rPr>
      </w:pPr>
    </w:p>
    <w:p w14:paraId="76A991F2" w14:textId="77777777" w:rsidR="00B5044A" w:rsidRPr="00577043" w:rsidRDefault="00414F9E" w:rsidP="00414F9E">
      <w:pPr>
        <w:rPr>
          <w:rFonts w:eastAsia="Times New Roman" w:cs="Times New Roman"/>
          <w:bCs/>
          <w:color w:val="000000"/>
          <w:lang w:eastAsia="da-DK"/>
        </w:rPr>
      </w:pPr>
      <w:r w:rsidRPr="00577043">
        <w:rPr>
          <w:rFonts w:eastAsia="Times New Roman" w:cs="Times New Roman"/>
          <w:bCs/>
          <w:color w:val="000000"/>
          <w:lang w:eastAsia="da-DK"/>
        </w:rPr>
        <w:t xml:space="preserve">Det foreslås </w:t>
      </w:r>
      <w:r w:rsidR="003F1389" w:rsidRPr="00577043">
        <w:rPr>
          <w:rFonts w:eastAsia="Times New Roman" w:cs="Times New Roman"/>
          <w:bCs/>
          <w:color w:val="000000"/>
          <w:lang w:eastAsia="da-DK"/>
        </w:rPr>
        <w:t xml:space="preserve">således </w:t>
      </w:r>
      <w:r w:rsidRPr="00577043">
        <w:rPr>
          <w:rFonts w:eastAsia="Times New Roman" w:cs="Times New Roman"/>
          <w:bCs/>
          <w:color w:val="000000"/>
          <w:lang w:eastAsia="da-DK"/>
        </w:rPr>
        <w:t xml:space="preserve">med § </w:t>
      </w:r>
      <w:r w:rsidR="001D7E16">
        <w:rPr>
          <w:rFonts w:eastAsia="Times New Roman" w:cs="Times New Roman"/>
          <w:bCs/>
          <w:color w:val="000000"/>
          <w:lang w:eastAsia="da-DK"/>
        </w:rPr>
        <w:t>10</w:t>
      </w:r>
      <w:r w:rsidRPr="00577043">
        <w:rPr>
          <w:rFonts w:eastAsia="Times New Roman" w:cs="Times New Roman"/>
          <w:bCs/>
          <w:color w:val="000000"/>
          <w:lang w:eastAsia="da-DK"/>
        </w:rPr>
        <w:t xml:space="preserve">, stk. 1, at </w:t>
      </w:r>
      <w:r w:rsidR="0058651B">
        <w:rPr>
          <w:rFonts w:eastAsia="Times New Roman" w:cs="Times New Roman"/>
          <w:bCs/>
          <w:color w:val="000000"/>
          <w:lang w:eastAsia="da-DK"/>
        </w:rPr>
        <w:t>Lægemiddelstyrelsen</w:t>
      </w:r>
      <w:r w:rsidRPr="00577043">
        <w:rPr>
          <w:rFonts w:eastAsia="Times New Roman" w:cs="Times New Roman"/>
          <w:bCs/>
          <w:color w:val="000000"/>
          <w:lang w:eastAsia="da-DK"/>
        </w:rPr>
        <w:t xml:space="preserve"> træffer afgørelse, om det kliniske forsøg kan godkendes, om det godkendes på visse betingelser, eller om der gives afslag på godkendelse, jf. forordningen art</w:t>
      </w:r>
      <w:r w:rsidR="006F7844">
        <w:rPr>
          <w:rFonts w:eastAsia="Times New Roman" w:cs="Times New Roman"/>
          <w:bCs/>
          <w:color w:val="000000"/>
          <w:lang w:eastAsia="da-DK"/>
        </w:rPr>
        <w:t>ikel</w:t>
      </w:r>
      <w:r w:rsidRPr="00577043">
        <w:rPr>
          <w:rFonts w:eastAsia="Times New Roman" w:cs="Times New Roman"/>
          <w:bCs/>
          <w:color w:val="000000"/>
          <w:lang w:eastAsia="da-DK"/>
        </w:rPr>
        <w:t xml:space="preserve"> 8, stk. 1. </w:t>
      </w:r>
    </w:p>
    <w:p w14:paraId="6250F5AD" w14:textId="77777777" w:rsidR="00B5044A" w:rsidRPr="00577043" w:rsidRDefault="00B5044A" w:rsidP="00414F9E">
      <w:pPr>
        <w:rPr>
          <w:rFonts w:eastAsia="Times New Roman" w:cs="Times New Roman"/>
          <w:bCs/>
          <w:color w:val="000000"/>
          <w:lang w:eastAsia="da-DK"/>
        </w:rPr>
      </w:pPr>
    </w:p>
    <w:p w14:paraId="56EDD9D1" w14:textId="77777777" w:rsidR="00B5044A" w:rsidRPr="00577043" w:rsidRDefault="0058651B" w:rsidP="00414F9E">
      <w:pPr>
        <w:rPr>
          <w:rFonts w:eastAsia="Times New Roman" w:cs="Times New Roman"/>
          <w:bCs/>
          <w:color w:val="000000"/>
          <w:lang w:eastAsia="da-DK"/>
        </w:rPr>
      </w:pPr>
      <w:r>
        <w:rPr>
          <w:rFonts w:eastAsia="Times New Roman" w:cs="Times New Roman"/>
          <w:bCs/>
          <w:color w:val="000000"/>
          <w:lang w:eastAsia="da-DK"/>
        </w:rPr>
        <w:t>Lægemiddelstyrelsen</w:t>
      </w:r>
      <w:r w:rsidR="00B5044A" w:rsidRPr="00577043">
        <w:rPr>
          <w:rFonts w:eastAsia="Times New Roman" w:cs="Times New Roman"/>
          <w:bCs/>
          <w:color w:val="000000"/>
          <w:lang w:eastAsia="da-DK"/>
        </w:rPr>
        <w:t xml:space="preserve"> afviser i overensstemmelse med forordningens art</w:t>
      </w:r>
      <w:r w:rsidR="006F7844">
        <w:rPr>
          <w:rFonts w:eastAsia="Times New Roman" w:cs="Times New Roman"/>
          <w:bCs/>
          <w:color w:val="000000"/>
          <w:lang w:eastAsia="da-DK"/>
        </w:rPr>
        <w:t>ikel</w:t>
      </w:r>
      <w:r w:rsidR="00B5044A" w:rsidRPr="00577043">
        <w:rPr>
          <w:rFonts w:eastAsia="Times New Roman" w:cs="Times New Roman"/>
          <w:bCs/>
          <w:color w:val="000000"/>
          <w:lang w:eastAsia="da-DK"/>
        </w:rPr>
        <w:t xml:space="preserve"> 8, stk. </w:t>
      </w:r>
      <w:r w:rsidR="001E06A2" w:rsidRPr="00577043">
        <w:rPr>
          <w:rFonts w:eastAsia="Times New Roman" w:cs="Times New Roman"/>
          <w:bCs/>
          <w:color w:val="000000"/>
          <w:lang w:eastAsia="da-DK"/>
        </w:rPr>
        <w:t>4</w:t>
      </w:r>
      <w:r w:rsidR="00B5044A" w:rsidRPr="00577043">
        <w:rPr>
          <w:rFonts w:eastAsia="Times New Roman" w:cs="Times New Roman"/>
          <w:bCs/>
          <w:color w:val="000000"/>
          <w:lang w:eastAsia="da-DK"/>
        </w:rPr>
        <w:t xml:space="preserve">, at godkende et klinisk forsøg, hvis </w:t>
      </w:r>
    </w:p>
    <w:p w14:paraId="7DCA1D4F" w14:textId="77777777" w:rsidR="00B5044A" w:rsidRPr="00577043" w:rsidRDefault="0058651B" w:rsidP="00795444">
      <w:pPr>
        <w:pStyle w:val="Listeafsnit"/>
        <w:numPr>
          <w:ilvl w:val="0"/>
          <w:numId w:val="39"/>
        </w:numPr>
        <w:rPr>
          <w:rFonts w:eastAsia="Times New Roman" w:cs="Times New Roman"/>
          <w:bCs/>
          <w:color w:val="000000"/>
          <w:lang w:eastAsia="da-DK"/>
        </w:rPr>
      </w:pPr>
      <w:r>
        <w:rPr>
          <w:rFonts w:eastAsia="Times New Roman" w:cs="Times New Roman"/>
          <w:bCs/>
          <w:color w:val="000000"/>
          <w:lang w:eastAsia="da-DK"/>
        </w:rPr>
        <w:t>Lægemiddelstyrelsen</w:t>
      </w:r>
      <w:r w:rsidR="007E616B" w:rsidRPr="00577043">
        <w:rPr>
          <w:rFonts w:eastAsia="Times New Roman" w:cs="Times New Roman"/>
          <w:bCs/>
          <w:color w:val="000000"/>
          <w:lang w:eastAsia="da-DK"/>
        </w:rPr>
        <w:t xml:space="preserve"> er uenig i</w:t>
      </w:r>
      <w:r w:rsidR="00B5044A" w:rsidRPr="00577043">
        <w:rPr>
          <w:rFonts w:eastAsia="Times New Roman" w:cs="Times New Roman"/>
          <w:bCs/>
          <w:color w:val="000000"/>
          <w:lang w:eastAsia="da-DK"/>
        </w:rPr>
        <w:t xml:space="preserve"> den rapporterende medlemsstats konklusioner for så vidt angår del I af vurderingsrapporten af nogen af de i art</w:t>
      </w:r>
      <w:r w:rsidR="006F7844">
        <w:rPr>
          <w:rFonts w:eastAsia="Times New Roman" w:cs="Times New Roman"/>
          <w:bCs/>
          <w:color w:val="000000"/>
          <w:lang w:eastAsia="da-DK"/>
        </w:rPr>
        <w:t>ikel</w:t>
      </w:r>
      <w:r w:rsidR="00B5044A" w:rsidRPr="00577043">
        <w:rPr>
          <w:rFonts w:eastAsia="Times New Roman" w:cs="Times New Roman"/>
          <w:bCs/>
          <w:color w:val="000000"/>
          <w:lang w:eastAsia="da-DK"/>
        </w:rPr>
        <w:t xml:space="preserve"> 8, stk. 2, anførte grunde eller</w:t>
      </w:r>
    </w:p>
    <w:p w14:paraId="4DD35F9A" w14:textId="77777777" w:rsidR="00B5044A" w:rsidRPr="00577043" w:rsidRDefault="00B5044A" w:rsidP="00B5044A">
      <w:pPr>
        <w:pStyle w:val="Listeafsnit"/>
        <w:rPr>
          <w:rFonts w:eastAsia="Times New Roman" w:cs="Times New Roman"/>
          <w:bCs/>
          <w:color w:val="000000"/>
          <w:lang w:eastAsia="da-DK"/>
        </w:rPr>
      </w:pPr>
    </w:p>
    <w:p w14:paraId="4107732F" w14:textId="77777777" w:rsidR="00B5044A" w:rsidRPr="00577043" w:rsidRDefault="00B5044A" w:rsidP="00795444">
      <w:pPr>
        <w:pStyle w:val="Listeafsnit"/>
        <w:numPr>
          <w:ilvl w:val="0"/>
          <w:numId w:val="39"/>
        </w:numPr>
        <w:rPr>
          <w:rFonts w:eastAsia="Times New Roman" w:cs="Times New Roman"/>
          <w:bCs/>
          <w:color w:val="000000"/>
          <w:lang w:eastAsia="da-DK"/>
        </w:rPr>
      </w:pPr>
      <w:r w:rsidRPr="00577043">
        <w:rPr>
          <w:rFonts w:eastAsia="Times New Roman" w:cs="Times New Roman"/>
          <w:bCs/>
          <w:color w:val="000000"/>
          <w:lang w:eastAsia="da-DK"/>
        </w:rPr>
        <w:t xml:space="preserve">den videnskabsetiske lægemiddelkomité </w:t>
      </w:r>
      <w:r w:rsidR="007E616B" w:rsidRPr="00577043">
        <w:rPr>
          <w:rFonts w:eastAsia="Times New Roman" w:cs="Times New Roman"/>
          <w:bCs/>
          <w:color w:val="000000"/>
          <w:lang w:eastAsia="da-DK"/>
        </w:rPr>
        <w:t>er uenig i</w:t>
      </w:r>
      <w:r w:rsidRPr="00577043">
        <w:rPr>
          <w:rFonts w:eastAsia="Times New Roman" w:cs="Times New Roman"/>
          <w:bCs/>
          <w:color w:val="000000"/>
          <w:lang w:eastAsia="da-DK"/>
        </w:rPr>
        <w:t xml:space="preserve"> den rapporterende medlemsstats konklusioner for så vidt angår del I af vurderingsrapporten af nogen af de i art</w:t>
      </w:r>
      <w:r w:rsidR="006F7844">
        <w:rPr>
          <w:rFonts w:eastAsia="Times New Roman" w:cs="Times New Roman"/>
          <w:bCs/>
          <w:color w:val="000000"/>
          <w:lang w:eastAsia="da-DK"/>
        </w:rPr>
        <w:t>ikel</w:t>
      </w:r>
      <w:r w:rsidRPr="00577043">
        <w:rPr>
          <w:rFonts w:eastAsia="Times New Roman" w:cs="Times New Roman"/>
          <w:bCs/>
          <w:color w:val="000000"/>
          <w:lang w:eastAsia="da-DK"/>
        </w:rPr>
        <w:t xml:space="preserve"> 8, stk. stk. 2</w:t>
      </w:r>
      <w:r w:rsidR="00332344" w:rsidRPr="00577043">
        <w:rPr>
          <w:rFonts w:eastAsia="Times New Roman" w:cs="Times New Roman"/>
          <w:bCs/>
          <w:color w:val="000000"/>
          <w:lang w:eastAsia="da-DK"/>
        </w:rPr>
        <w:t>, i forordningen</w:t>
      </w:r>
      <w:r w:rsidRPr="00577043">
        <w:rPr>
          <w:rFonts w:eastAsia="Times New Roman" w:cs="Times New Roman"/>
          <w:bCs/>
          <w:color w:val="000000"/>
          <w:lang w:eastAsia="da-DK"/>
        </w:rPr>
        <w:t xml:space="preserve"> anførte grunde eller</w:t>
      </w:r>
    </w:p>
    <w:p w14:paraId="55DA9C8D" w14:textId="77777777" w:rsidR="00B5044A" w:rsidRPr="00577043" w:rsidRDefault="00B5044A" w:rsidP="00B5044A">
      <w:pPr>
        <w:pStyle w:val="Listeafsnit"/>
        <w:rPr>
          <w:rFonts w:eastAsia="Times New Roman" w:cs="Times New Roman"/>
          <w:bCs/>
          <w:color w:val="000000"/>
          <w:lang w:eastAsia="da-DK"/>
        </w:rPr>
      </w:pPr>
    </w:p>
    <w:p w14:paraId="3EB4BC31" w14:textId="77777777" w:rsidR="00B5044A" w:rsidRPr="00577043" w:rsidRDefault="00B5044A" w:rsidP="00795444">
      <w:pPr>
        <w:pStyle w:val="Listeafsnit"/>
        <w:numPr>
          <w:ilvl w:val="0"/>
          <w:numId w:val="39"/>
        </w:numPr>
        <w:rPr>
          <w:rFonts w:eastAsia="Times New Roman" w:cs="Times New Roman"/>
          <w:bCs/>
          <w:color w:val="000000"/>
          <w:lang w:eastAsia="da-DK"/>
        </w:rPr>
      </w:pPr>
      <w:r w:rsidRPr="00577043">
        <w:rPr>
          <w:rFonts w:eastAsia="Times New Roman" w:cs="Times New Roman"/>
          <w:bCs/>
          <w:color w:val="000000"/>
          <w:lang w:eastAsia="da-DK"/>
        </w:rPr>
        <w:t>den videnskabsetiske lægemiddelkomité finder, at aspekterne omfattet af del II af vurderingsrapporten ikke er overholdt</w:t>
      </w:r>
      <w:r w:rsidR="00332344" w:rsidRPr="00577043">
        <w:rPr>
          <w:rFonts w:eastAsia="Times New Roman" w:cs="Times New Roman"/>
          <w:bCs/>
          <w:color w:val="000000"/>
          <w:lang w:eastAsia="da-DK"/>
        </w:rPr>
        <w:t>, jf. stk. 7</w:t>
      </w:r>
      <w:r w:rsidR="00795444" w:rsidRPr="00577043">
        <w:rPr>
          <w:rFonts w:eastAsia="Times New Roman" w:cs="Times New Roman"/>
          <w:bCs/>
          <w:color w:val="000000"/>
          <w:lang w:eastAsia="da-DK"/>
        </w:rPr>
        <w:t>,</w:t>
      </w:r>
      <w:r w:rsidR="00332344" w:rsidRPr="00577043">
        <w:rPr>
          <w:rFonts w:eastAsia="Times New Roman" w:cs="Times New Roman"/>
          <w:bCs/>
          <w:color w:val="000000"/>
          <w:lang w:eastAsia="da-DK"/>
        </w:rPr>
        <w:t xml:space="preserve"> i forordningen</w:t>
      </w:r>
      <w:r w:rsidRPr="00577043">
        <w:rPr>
          <w:rFonts w:eastAsia="Times New Roman" w:cs="Times New Roman"/>
          <w:bCs/>
          <w:color w:val="000000"/>
          <w:lang w:eastAsia="da-DK"/>
        </w:rPr>
        <w:t>.</w:t>
      </w:r>
    </w:p>
    <w:p w14:paraId="36A47E04" w14:textId="77777777" w:rsidR="00282FCE" w:rsidRPr="00577043" w:rsidRDefault="00282FCE" w:rsidP="00414F9E">
      <w:pPr>
        <w:rPr>
          <w:rFonts w:eastAsia="Times New Roman" w:cs="Times New Roman"/>
          <w:bCs/>
          <w:color w:val="000000"/>
          <w:lang w:eastAsia="da-DK"/>
        </w:rPr>
      </w:pPr>
    </w:p>
    <w:p w14:paraId="5F832D9A" w14:textId="77777777" w:rsidR="002E2CBA" w:rsidRPr="00577043" w:rsidRDefault="00343772" w:rsidP="001C3FC4">
      <w:pPr>
        <w:rPr>
          <w:rFonts w:eastAsia="Times New Roman" w:cs="Times New Roman"/>
          <w:bCs/>
          <w:color w:val="000000"/>
          <w:lang w:eastAsia="da-DK"/>
        </w:rPr>
      </w:pPr>
      <w:r w:rsidRPr="00577043">
        <w:rPr>
          <w:rFonts w:eastAsia="Times New Roman" w:cs="Times New Roman"/>
          <w:bCs/>
          <w:color w:val="000000"/>
          <w:lang w:eastAsia="da-DK"/>
        </w:rPr>
        <w:t xml:space="preserve">Såfremt </w:t>
      </w:r>
      <w:r w:rsidR="0058651B">
        <w:rPr>
          <w:rFonts w:eastAsia="Times New Roman" w:cs="Times New Roman"/>
          <w:bCs/>
          <w:color w:val="000000"/>
          <w:lang w:eastAsia="da-DK"/>
        </w:rPr>
        <w:t>Lægemiddelstyrelsen</w:t>
      </w:r>
      <w:r w:rsidRPr="00577043">
        <w:rPr>
          <w:rFonts w:eastAsia="Times New Roman" w:cs="Times New Roman"/>
          <w:bCs/>
          <w:color w:val="000000"/>
          <w:lang w:eastAsia="da-DK"/>
        </w:rPr>
        <w:t xml:space="preserve"> afviser at godkende forsøget</w:t>
      </w:r>
      <w:r w:rsidR="001F1E13">
        <w:rPr>
          <w:rFonts w:eastAsia="Times New Roman" w:cs="Times New Roman"/>
          <w:bCs/>
          <w:color w:val="000000"/>
          <w:lang w:eastAsia="da-DK"/>
        </w:rPr>
        <w:t>,</w:t>
      </w:r>
      <w:r w:rsidRPr="00577043">
        <w:rPr>
          <w:rFonts w:eastAsia="Times New Roman" w:cs="Times New Roman"/>
          <w:bCs/>
          <w:color w:val="000000"/>
          <w:lang w:eastAsia="da-DK"/>
        </w:rPr>
        <w:t xml:space="preserve"> vil forsøget ikke</w:t>
      </w:r>
      <w:r w:rsidR="00D0184A" w:rsidRPr="00577043">
        <w:rPr>
          <w:rFonts w:eastAsia="Times New Roman" w:cs="Times New Roman"/>
          <w:bCs/>
          <w:color w:val="000000"/>
          <w:lang w:eastAsia="da-DK"/>
        </w:rPr>
        <w:t xml:space="preserve"> blive gennemført i Danmark.</w:t>
      </w:r>
      <w:r w:rsidR="00A80213">
        <w:rPr>
          <w:rFonts w:eastAsia="Times New Roman" w:cs="Times New Roman"/>
          <w:bCs/>
          <w:color w:val="000000"/>
          <w:lang w:eastAsia="da-DK"/>
        </w:rPr>
        <w:t xml:space="preserve"> Det bemærkes, at forsøget uanset Danmarks eventuelle afvisning vil blive gennemført i andre medlemsstater, som vælger at godkende det pågældende forsøg.</w:t>
      </w:r>
    </w:p>
    <w:p w14:paraId="46795818" w14:textId="77777777" w:rsidR="003C630B" w:rsidRPr="00577043" w:rsidRDefault="003C630B" w:rsidP="001C3FC4">
      <w:pPr>
        <w:rPr>
          <w:rFonts w:eastAsia="Times New Roman" w:cs="Times New Roman"/>
          <w:bCs/>
          <w:color w:val="000000"/>
          <w:lang w:eastAsia="da-DK"/>
        </w:rPr>
      </w:pPr>
    </w:p>
    <w:p w14:paraId="383560D1" w14:textId="77777777" w:rsidR="00670622" w:rsidRPr="00577043" w:rsidRDefault="00670622" w:rsidP="00670622">
      <w:pPr>
        <w:rPr>
          <w:rFonts w:eastAsia="Times New Roman" w:cs="Times New Roman"/>
          <w:bCs/>
          <w:color w:val="000000"/>
          <w:lang w:eastAsia="da-DK"/>
        </w:rPr>
      </w:pPr>
      <w:r w:rsidRPr="00577043">
        <w:rPr>
          <w:rFonts w:eastAsia="Times New Roman" w:cs="Times New Roman"/>
          <w:bCs/>
          <w:color w:val="000000"/>
          <w:lang w:eastAsia="da-DK"/>
        </w:rPr>
        <w:t xml:space="preserve">Den videnskabsetiske lægemiddelkomités </w:t>
      </w:r>
      <w:r w:rsidR="00996FE4" w:rsidRPr="00577043">
        <w:rPr>
          <w:rFonts w:eastAsia="Times New Roman" w:cs="Times New Roman"/>
          <w:bCs/>
          <w:color w:val="000000"/>
          <w:lang w:eastAsia="da-DK"/>
        </w:rPr>
        <w:t xml:space="preserve">afgørelse </w:t>
      </w:r>
      <w:r w:rsidRPr="00577043">
        <w:rPr>
          <w:rFonts w:eastAsia="Times New Roman" w:cs="Times New Roman"/>
          <w:bCs/>
          <w:color w:val="000000"/>
          <w:lang w:eastAsia="da-DK"/>
        </w:rPr>
        <w:t xml:space="preserve">af, om den er enig i den rapporterende medlemsstats konklusioner for så vidt angår del I af vurderingsrapporten sker på baggrund af vurderingen af de aspekter, som skal vurderes af komiteen i overensstemmelse med de </w:t>
      </w:r>
      <w:r w:rsidR="00C5055F" w:rsidRPr="00577043">
        <w:rPr>
          <w:rFonts w:eastAsia="Times New Roman" w:cs="Times New Roman"/>
          <w:bCs/>
          <w:color w:val="000000"/>
          <w:lang w:eastAsia="da-DK"/>
        </w:rPr>
        <w:t xml:space="preserve">regler, som </w:t>
      </w:r>
      <w:r w:rsidRPr="00577043">
        <w:rPr>
          <w:rFonts w:eastAsia="Times New Roman" w:cs="Times New Roman"/>
          <w:bCs/>
          <w:color w:val="000000"/>
          <w:lang w:eastAsia="da-DK"/>
        </w:rPr>
        <w:t xml:space="preserve">fastsættes herom af </w:t>
      </w:r>
      <w:r w:rsidR="00A22EAD" w:rsidRPr="00577043">
        <w:rPr>
          <w:rFonts w:eastAsia="Times New Roman" w:cs="Times New Roman"/>
          <w:bCs/>
          <w:color w:val="000000"/>
          <w:lang w:eastAsia="da-DK"/>
        </w:rPr>
        <w:t>sundheds- og ældreministeren</w:t>
      </w:r>
      <w:r w:rsidRPr="00577043">
        <w:rPr>
          <w:rFonts w:eastAsia="Times New Roman" w:cs="Times New Roman"/>
          <w:bCs/>
          <w:color w:val="000000"/>
          <w:lang w:eastAsia="da-DK"/>
        </w:rPr>
        <w:t>, jf. den foreslåede</w:t>
      </w:r>
      <w:r w:rsidR="00AB2408" w:rsidRPr="00577043">
        <w:rPr>
          <w:rFonts w:eastAsia="Times New Roman" w:cs="Times New Roman"/>
          <w:bCs/>
          <w:color w:val="000000"/>
          <w:lang w:eastAsia="da-DK"/>
        </w:rPr>
        <w:t xml:space="preserve"> § </w:t>
      </w:r>
      <w:r w:rsidR="001D7E16">
        <w:rPr>
          <w:rFonts w:eastAsia="Times New Roman" w:cs="Times New Roman"/>
          <w:bCs/>
          <w:color w:val="000000"/>
          <w:lang w:eastAsia="da-DK"/>
        </w:rPr>
        <w:t>13</w:t>
      </w:r>
      <w:r w:rsidR="00AB2408" w:rsidRPr="00577043">
        <w:rPr>
          <w:rFonts w:eastAsia="Times New Roman" w:cs="Times New Roman"/>
          <w:bCs/>
          <w:color w:val="000000"/>
          <w:lang w:eastAsia="da-DK"/>
        </w:rPr>
        <w:t>, stk. 1,</w:t>
      </w:r>
      <w:r w:rsidRPr="00577043">
        <w:rPr>
          <w:rFonts w:eastAsia="Times New Roman" w:cs="Times New Roman"/>
          <w:bCs/>
          <w:color w:val="000000"/>
          <w:lang w:eastAsia="da-DK"/>
        </w:rPr>
        <w:t xml:space="preserve"> som beskrevet i afsnit 2.1.2. </w:t>
      </w:r>
    </w:p>
    <w:p w14:paraId="72D0126E" w14:textId="77777777" w:rsidR="00670622" w:rsidRPr="00577043" w:rsidRDefault="00670622" w:rsidP="001C3FC4">
      <w:pPr>
        <w:rPr>
          <w:rFonts w:eastAsia="Times New Roman" w:cs="Times New Roman"/>
          <w:bCs/>
          <w:color w:val="000000"/>
          <w:lang w:eastAsia="da-DK"/>
        </w:rPr>
      </w:pPr>
    </w:p>
    <w:p w14:paraId="3360045E" w14:textId="77777777" w:rsidR="006152ED" w:rsidRPr="00577043" w:rsidRDefault="006F66F3" w:rsidP="001C3FC4">
      <w:pPr>
        <w:rPr>
          <w:rFonts w:eastAsia="Times New Roman" w:cs="Times New Roman"/>
          <w:bCs/>
          <w:color w:val="000000"/>
          <w:lang w:eastAsia="da-DK"/>
        </w:rPr>
      </w:pPr>
      <w:r w:rsidRPr="00577043">
        <w:rPr>
          <w:rFonts w:eastAsia="Times New Roman" w:cs="Times New Roman"/>
          <w:bCs/>
          <w:color w:val="000000"/>
          <w:lang w:eastAsia="da-DK"/>
        </w:rPr>
        <w:t>Ovenstående</w:t>
      </w:r>
      <w:r w:rsidR="001C3FC4" w:rsidRPr="00577043">
        <w:rPr>
          <w:rFonts w:eastAsia="Times New Roman" w:cs="Times New Roman"/>
          <w:bCs/>
          <w:color w:val="000000"/>
          <w:lang w:eastAsia="da-DK"/>
        </w:rPr>
        <w:t xml:space="preserve"> indebærer</w:t>
      </w:r>
      <w:r w:rsidRPr="00577043">
        <w:rPr>
          <w:rFonts w:eastAsia="Times New Roman" w:cs="Times New Roman"/>
          <w:bCs/>
          <w:color w:val="000000"/>
          <w:lang w:eastAsia="da-DK"/>
        </w:rPr>
        <w:t xml:space="preserve"> med andre ord</w:t>
      </w:r>
      <w:r w:rsidR="001C3FC4" w:rsidRPr="00577043">
        <w:rPr>
          <w:rFonts w:eastAsia="Times New Roman" w:cs="Times New Roman"/>
          <w:bCs/>
          <w:color w:val="000000"/>
          <w:lang w:eastAsia="da-DK"/>
        </w:rPr>
        <w:t xml:space="preserve">, at hvis </w:t>
      </w:r>
      <w:r w:rsidR="0058651B">
        <w:rPr>
          <w:rFonts w:eastAsia="Times New Roman" w:cs="Times New Roman"/>
          <w:bCs/>
          <w:color w:val="000000"/>
          <w:lang w:eastAsia="da-DK"/>
        </w:rPr>
        <w:t>Lægemiddelstyrelsen</w:t>
      </w:r>
      <w:r w:rsidR="001C3FC4" w:rsidRPr="00577043">
        <w:rPr>
          <w:rFonts w:eastAsia="Times New Roman" w:cs="Times New Roman"/>
          <w:bCs/>
          <w:color w:val="000000"/>
          <w:lang w:eastAsia="da-DK"/>
        </w:rPr>
        <w:t xml:space="preserve"> eller den videnskabsetiske lægemiddelkomité finder, at deltagelse i det kliniske forsøg ville føre til, at en forsøgsperson ville modtage en ringere behandling end i n</w:t>
      </w:r>
      <w:r w:rsidR="000F0089" w:rsidRPr="00577043">
        <w:rPr>
          <w:rFonts w:eastAsia="Times New Roman" w:cs="Times New Roman"/>
          <w:bCs/>
          <w:color w:val="000000"/>
          <w:lang w:eastAsia="da-DK"/>
        </w:rPr>
        <w:t>ormal klinisk praksis i Danmark</w:t>
      </w:r>
      <w:r w:rsidR="00FB3810" w:rsidRPr="00577043">
        <w:rPr>
          <w:rFonts w:eastAsia="Times New Roman" w:cs="Times New Roman"/>
          <w:bCs/>
          <w:color w:val="000000"/>
          <w:lang w:eastAsia="da-DK"/>
        </w:rPr>
        <w:t>, jf. forordningens art</w:t>
      </w:r>
      <w:r w:rsidR="006F7844">
        <w:rPr>
          <w:rFonts w:eastAsia="Times New Roman" w:cs="Times New Roman"/>
          <w:bCs/>
          <w:color w:val="000000"/>
          <w:lang w:eastAsia="da-DK"/>
        </w:rPr>
        <w:t>ikel</w:t>
      </w:r>
      <w:r w:rsidR="00FB3810" w:rsidRPr="00577043">
        <w:rPr>
          <w:rFonts w:eastAsia="Times New Roman" w:cs="Times New Roman"/>
          <w:bCs/>
          <w:color w:val="000000"/>
          <w:lang w:eastAsia="da-DK"/>
        </w:rPr>
        <w:t xml:space="preserve"> 8, stk. 2, litra c,</w:t>
      </w:r>
      <w:r w:rsidR="001C3FC4" w:rsidRPr="00577043">
        <w:rPr>
          <w:rFonts w:eastAsia="Times New Roman" w:cs="Times New Roman"/>
          <w:bCs/>
          <w:color w:val="000000"/>
          <w:lang w:eastAsia="da-DK"/>
        </w:rPr>
        <w:t xml:space="preserve"> skal </w:t>
      </w:r>
      <w:r w:rsidR="0058651B">
        <w:rPr>
          <w:rFonts w:eastAsia="Times New Roman" w:cs="Times New Roman"/>
          <w:bCs/>
          <w:color w:val="000000"/>
          <w:lang w:eastAsia="da-DK"/>
        </w:rPr>
        <w:t>Lægemiddelstyrelsen</w:t>
      </w:r>
      <w:r w:rsidR="001C3FC4" w:rsidRPr="00577043">
        <w:rPr>
          <w:rFonts w:eastAsia="Times New Roman" w:cs="Times New Roman"/>
          <w:bCs/>
          <w:color w:val="000000"/>
          <w:lang w:eastAsia="da-DK"/>
        </w:rPr>
        <w:t xml:space="preserve"> afvise at godkende det kliniske forsøg</w:t>
      </w:r>
      <w:r w:rsidR="00FB3810" w:rsidRPr="00577043">
        <w:rPr>
          <w:rFonts w:eastAsia="Times New Roman" w:cs="Times New Roman"/>
          <w:bCs/>
          <w:color w:val="000000"/>
          <w:lang w:eastAsia="da-DK"/>
        </w:rPr>
        <w:t xml:space="preserve">, jf. </w:t>
      </w:r>
      <w:r w:rsidR="006F7844">
        <w:rPr>
          <w:rFonts w:eastAsia="Times New Roman" w:cs="Times New Roman"/>
          <w:bCs/>
          <w:color w:val="000000"/>
          <w:lang w:eastAsia="da-DK"/>
        </w:rPr>
        <w:t>artikel</w:t>
      </w:r>
      <w:r w:rsidR="00FB3810" w:rsidRPr="00577043">
        <w:rPr>
          <w:rFonts w:eastAsia="Times New Roman" w:cs="Times New Roman"/>
          <w:bCs/>
          <w:color w:val="000000"/>
          <w:lang w:eastAsia="da-DK"/>
        </w:rPr>
        <w:t xml:space="preserve"> 8, stk. 4</w:t>
      </w:r>
      <w:r w:rsidR="001C3FC4" w:rsidRPr="00577043">
        <w:rPr>
          <w:rFonts w:eastAsia="Times New Roman" w:cs="Times New Roman"/>
          <w:bCs/>
          <w:color w:val="000000"/>
          <w:lang w:eastAsia="da-DK"/>
        </w:rPr>
        <w:t xml:space="preserve">. </w:t>
      </w:r>
    </w:p>
    <w:p w14:paraId="05944E1D" w14:textId="77777777" w:rsidR="006152ED" w:rsidRPr="00577043" w:rsidRDefault="006152ED" w:rsidP="001C3FC4">
      <w:pPr>
        <w:rPr>
          <w:rFonts w:eastAsia="Times New Roman" w:cs="Times New Roman"/>
          <w:bCs/>
          <w:color w:val="000000"/>
          <w:lang w:eastAsia="da-DK"/>
        </w:rPr>
      </w:pPr>
    </w:p>
    <w:p w14:paraId="25855859" w14:textId="77777777" w:rsidR="001C3FC4" w:rsidRPr="00577043" w:rsidRDefault="006F0478" w:rsidP="001C3FC4">
      <w:pPr>
        <w:rPr>
          <w:rFonts w:eastAsia="Times New Roman" w:cs="Times New Roman"/>
          <w:bCs/>
          <w:color w:val="000000"/>
          <w:lang w:eastAsia="da-DK"/>
        </w:rPr>
      </w:pPr>
      <w:r w:rsidRPr="00577043">
        <w:rPr>
          <w:rFonts w:eastAsia="Times New Roman" w:cs="Times New Roman"/>
          <w:bCs/>
          <w:color w:val="000000"/>
          <w:lang w:eastAsia="da-DK"/>
        </w:rPr>
        <w:t>Desuden</w:t>
      </w:r>
      <w:r w:rsidR="006152ED" w:rsidRPr="00577043">
        <w:rPr>
          <w:rFonts w:eastAsia="Times New Roman" w:cs="Times New Roman"/>
          <w:bCs/>
          <w:color w:val="000000"/>
          <w:lang w:eastAsia="da-DK"/>
        </w:rPr>
        <w:t xml:space="preserve"> skal </w:t>
      </w:r>
      <w:r w:rsidR="0058651B">
        <w:rPr>
          <w:rFonts w:eastAsia="Times New Roman" w:cs="Times New Roman"/>
          <w:bCs/>
          <w:color w:val="000000"/>
          <w:lang w:eastAsia="da-DK"/>
        </w:rPr>
        <w:t>Lægemiddelstyrelsen</w:t>
      </w:r>
      <w:r w:rsidR="006152ED" w:rsidRPr="00577043">
        <w:rPr>
          <w:rFonts w:eastAsia="Times New Roman" w:cs="Times New Roman"/>
          <w:bCs/>
          <w:color w:val="000000"/>
          <w:lang w:eastAsia="da-DK"/>
        </w:rPr>
        <w:t xml:space="preserve"> </w:t>
      </w:r>
      <w:r w:rsidRPr="00577043">
        <w:rPr>
          <w:rFonts w:eastAsia="Times New Roman" w:cs="Times New Roman"/>
          <w:bCs/>
          <w:color w:val="000000"/>
          <w:lang w:eastAsia="da-DK"/>
        </w:rPr>
        <w:t>i overensstemmelse med</w:t>
      </w:r>
      <w:r w:rsidR="006152ED" w:rsidRPr="00577043">
        <w:rPr>
          <w:rFonts w:eastAsia="Times New Roman" w:cs="Times New Roman"/>
          <w:bCs/>
          <w:color w:val="000000"/>
          <w:lang w:eastAsia="da-DK"/>
        </w:rPr>
        <w:t xml:space="preserve"> forordningens</w:t>
      </w:r>
      <w:r w:rsidR="00F33965" w:rsidRPr="00577043">
        <w:rPr>
          <w:rFonts w:eastAsia="Times New Roman" w:cs="Times New Roman"/>
          <w:bCs/>
          <w:color w:val="000000"/>
          <w:lang w:eastAsia="da-DK"/>
        </w:rPr>
        <w:t xml:space="preserve"> art</w:t>
      </w:r>
      <w:r w:rsidR="006F7844">
        <w:rPr>
          <w:rFonts w:eastAsia="Times New Roman" w:cs="Times New Roman"/>
          <w:bCs/>
          <w:color w:val="000000"/>
          <w:lang w:eastAsia="da-DK"/>
        </w:rPr>
        <w:t>ikel</w:t>
      </w:r>
      <w:r w:rsidR="00F33965" w:rsidRPr="00577043">
        <w:rPr>
          <w:rFonts w:eastAsia="Times New Roman" w:cs="Times New Roman"/>
          <w:bCs/>
          <w:color w:val="000000"/>
          <w:lang w:eastAsia="da-DK"/>
        </w:rPr>
        <w:t xml:space="preserve"> 8, stk. 4</w:t>
      </w:r>
      <w:r w:rsidR="006152ED" w:rsidRPr="00577043">
        <w:rPr>
          <w:rFonts w:eastAsia="Times New Roman" w:cs="Times New Roman"/>
          <w:bCs/>
          <w:color w:val="000000"/>
          <w:lang w:eastAsia="da-DK"/>
        </w:rPr>
        <w:t xml:space="preserve">, afvise at godkende et klinisk forsøg, hvis </w:t>
      </w:r>
      <w:r w:rsidR="0058651B">
        <w:rPr>
          <w:rFonts w:eastAsia="Times New Roman" w:cs="Times New Roman"/>
          <w:bCs/>
          <w:color w:val="000000"/>
          <w:lang w:eastAsia="da-DK"/>
        </w:rPr>
        <w:t>Lægemiddelstyrelsen</w:t>
      </w:r>
      <w:r w:rsidR="006152ED" w:rsidRPr="00577043">
        <w:rPr>
          <w:rFonts w:eastAsia="Times New Roman" w:cs="Times New Roman"/>
          <w:bCs/>
          <w:color w:val="000000"/>
          <w:lang w:eastAsia="da-DK"/>
        </w:rPr>
        <w:t xml:space="preserve"> eller den videnskabsetiske lægemiddelkomité vurderer, at forsøget vil medføre overtrædelse af dansk lovgivning som omhandlet i</w:t>
      </w:r>
      <w:r w:rsidR="001E1588" w:rsidRPr="00577043">
        <w:rPr>
          <w:rFonts w:eastAsia="Times New Roman" w:cs="Times New Roman"/>
          <w:bCs/>
          <w:color w:val="000000"/>
          <w:lang w:eastAsia="da-DK"/>
        </w:rPr>
        <w:t xml:space="preserve"> </w:t>
      </w:r>
      <w:r w:rsidR="00CA41F9" w:rsidRPr="00577043">
        <w:rPr>
          <w:rFonts w:eastAsia="Times New Roman" w:cs="Times New Roman"/>
          <w:bCs/>
          <w:color w:val="000000"/>
          <w:lang w:eastAsia="da-DK"/>
        </w:rPr>
        <w:t>forordningens</w:t>
      </w:r>
      <w:r w:rsidR="006152ED" w:rsidRPr="00577043">
        <w:rPr>
          <w:rFonts w:eastAsia="Times New Roman" w:cs="Times New Roman"/>
          <w:bCs/>
          <w:color w:val="000000"/>
          <w:lang w:eastAsia="da-DK"/>
        </w:rPr>
        <w:t xml:space="preserve"> art</w:t>
      </w:r>
      <w:r w:rsidR="006F7844">
        <w:rPr>
          <w:rFonts w:eastAsia="Times New Roman" w:cs="Times New Roman"/>
          <w:bCs/>
          <w:color w:val="000000"/>
          <w:lang w:eastAsia="da-DK"/>
        </w:rPr>
        <w:t>ikel</w:t>
      </w:r>
      <w:r w:rsidR="006152ED" w:rsidRPr="00577043">
        <w:rPr>
          <w:rFonts w:eastAsia="Times New Roman" w:cs="Times New Roman"/>
          <w:bCs/>
          <w:color w:val="000000"/>
          <w:lang w:eastAsia="da-DK"/>
        </w:rPr>
        <w:t xml:space="preserve"> 90 </w:t>
      </w:r>
      <w:r w:rsidR="00E53C17">
        <w:rPr>
          <w:rFonts w:eastAsia="Times New Roman" w:cs="Times New Roman"/>
          <w:bCs/>
          <w:color w:val="000000"/>
          <w:lang w:eastAsia="da-DK"/>
        </w:rPr>
        <w:t>om</w:t>
      </w:r>
      <w:r w:rsidR="00795444" w:rsidRPr="00577043">
        <w:rPr>
          <w:rFonts w:eastAsia="Times New Roman" w:cs="Times New Roman"/>
          <w:bCs/>
          <w:color w:val="000000"/>
          <w:lang w:eastAsia="da-DK"/>
        </w:rPr>
        <w:t xml:space="preserve"> specifikke krav til særlige grupper af lægemidler</w:t>
      </w:r>
      <w:r w:rsidR="00FB3810" w:rsidRPr="00577043">
        <w:rPr>
          <w:rFonts w:eastAsia="Times New Roman" w:cs="Times New Roman"/>
          <w:bCs/>
          <w:color w:val="000000"/>
          <w:lang w:eastAsia="da-DK"/>
        </w:rPr>
        <w:t>, jf. art</w:t>
      </w:r>
      <w:r w:rsidR="006F7844">
        <w:rPr>
          <w:rFonts w:eastAsia="Times New Roman" w:cs="Times New Roman"/>
          <w:bCs/>
          <w:color w:val="000000"/>
          <w:lang w:eastAsia="da-DK"/>
        </w:rPr>
        <w:t>ikel</w:t>
      </w:r>
      <w:r w:rsidR="00FB3810" w:rsidRPr="00577043">
        <w:rPr>
          <w:rFonts w:eastAsia="Times New Roman" w:cs="Times New Roman"/>
          <w:bCs/>
          <w:color w:val="000000"/>
          <w:lang w:eastAsia="da-DK"/>
        </w:rPr>
        <w:t xml:space="preserve"> 8, stk. 2, litra b</w:t>
      </w:r>
      <w:r w:rsidR="00795444" w:rsidRPr="00577043">
        <w:rPr>
          <w:rFonts w:eastAsia="Times New Roman" w:cs="Times New Roman"/>
          <w:bCs/>
          <w:color w:val="000000"/>
          <w:lang w:eastAsia="da-DK"/>
        </w:rPr>
        <w:t xml:space="preserve"> (se pkt. b ovenfor)</w:t>
      </w:r>
      <w:r w:rsidR="006152ED" w:rsidRPr="00577043">
        <w:rPr>
          <w:rFonts w:eastAsia="Times New Roman" w:cs="Times New Roman"/>
          <w:bCs/>
          <w:color w:val="000000"/>
          <w:lang w:eastAsia="da-DK"/>
        </w:rPr>
        <w:t>.</w:t>
      </w:r>
    </w:p>
    <w:p w14:paraId="079B0F73" w14:textId="77777777" w:rsidR="006152ED" w:rsidRPr="00577043" w:rsidRDefault="006152ED" w:rsidP="001C3FC4">
      <w:pPr>
        <w:rPr>
          <w:rFonts w:eastAsia="Times New Roman" w:cs="Times New Roman"/>
          <w:bCs/>
          <w:color w:val="000000"/>
          <w:lang w:eastAsia="da-DK"/>
        </w:rPr>
      </w:pPr>
    </w:p>
    <w:p w14:paraId="62AC5C55" w14:textId="77777777" w:rsidR="006152ED" w:rsidRPr="00577043" w:rsidRDefault="006F0478" w:rsidP="001C3FC4">
      <w:pPr>
        <w:rPr>
          <w:rFonts w:eastAsia="Times New Roman" w:cs="Times New Roman"/>
          <w:bCs/>
          <w:color w:val="000000"/>
          <w:lang w:eastAsia="da-DK"/>
        </w:rPr>
      </w:pPr>
      <w:r w:rsidRPr="00577043">
        <w:rPr>
          <w:rFonts w:eastAsia="Times New Roman" w:cs="Times New Roman"/>
          <w:bCs/>
          <w:color w:val="000000"/>
          <w:lang w:eastAsia="da-DK"/>
        </w:rPr>
        <w:t>Endvidere</w:t>
      </w:r>
      <w:r w:rsidR="006152ED" w:rsidRPr="00577043">
        <w:rPr>
          <w:rFonts w:eastAsia="Times New Roman" w:cs="Times New Roman"/>
          <w:bCs/>
          <w:color w:val="000000"/>
          <w:lang w:eastAsia="da-DK"/>
        </w:rPr>
        <w:t xml:space="preserve"> sk</w:t>
      </w:r>
      <w:r w:rsidRPr="00577043">
        <w:rPr>
          <w:rFonts w:eastAsia="Times New Roman" w:cs="Times New Roman"/>
          <w:bCs/>
          <w:color w:val="000000"/>
          <w:lang w:eastAsia="da-DK"/>
        </w:rPr>
        <w:t xml:space="preserve">al </w:t>
      </w:r>
      <w:r w:rsidR="0058651B">
        <w:rPr>
          <w:rFonts w:eastAsia="Times New Roman" w:cs="Times New Roman"/>
          <w:bCs/>
          <w:color w:val="000000"/>
          <w:lang w:eastAsia="da-DK"/>
        </w:rPr>
        <w:t>Lægemiddelstyrelsen</w:t>
      </w:r>
      <w:r w:rsidRPr="00577043">
        <w:rPr>
          <w:rFonts w:eastAsia="Times New Roman" w:cs="Times New Roman"/>
          <w:bCs/>
          <w:color w:val="000000"/>
          <w:lang w:eastAsia="da-DK"/>
        </w:rPr>
        <w:t xml:space="preserve"> i overensstemmelse med</w:t>
      </w:r>
      <w:r w:rsidR="006152ED" w:rsidRPr="00577043">
        <w:rPr>
          <w:rFonts w:eastAsia="Times New Roman" w:cs="Times New Roman"/>
          <w:bCs/>
          <w:color w:val="000000"/>
          <w:lang w:eastAsia="da-DK"/>
        </w:rPr>
        <w:t xml:space="preserve"> forordningens art</w:t>
      </w:r>
      <w:r w:rsidR="006F7844">
        <w:rPr>
          <w:rFonts w:eastAsia="Times New Roman" w:cs="Times New Roman"/>
          <w:bCs/>
          <w:color w:val="000000"/>
          <w:lang w:eastAsia="da-DK"/>
        </w:rPr>
        <w:t>ikel</w:t>
      </w:r>
      <w:r w:rsidR="006152ED" w:rsidRPr="00577043">
        <w:rPr>
          <w:rFonts w:eastAsia="Times New Roman" w:cs="Times New Roman"/>
          <w:bCs/>
          <w:color w:val="000000"/>
          <w:lang w:eastAsia="da-DK"/>
        </w:rPr>
        <w:t xml:space="preserve"> 8, stk. </w:t>
      </w:r>
      <w:r w:rsidR="00FB3810" w:rsidRPr="00577043">
        <w:rPr>
          <w:rFonts w:eastAsia="Times New Roman" w:cs="Times New Roman"/>
          <w:bCs/>
          <w:color w:val="000000"/>
          <w:lang w:eastAsia="da-DK"/>
        </w:rPr>
        <w:t>4</w:t>
      </w:r>
      <w:r w:rsidR="006152ED" w:rsidRPr="00577043">
        <w:rPr>
          <w:rFonts w:eastAsia="Times New Roman" w:cs="Times New Roman"/>
          <w:bCs/>
          <w:color w:val="000000"/>
          <w:lang w:eastAsia="da-DK"/>
        </w:rPr>
        <w:t xml:space="preserve">, afvise at godkende et klinisk forsøg, hvis </w:t>
      </w:r>
      <w:r w:rsidR="0058651B">
        <w:rPr>
          <w:rFonts w:eastAsia="Times New Roman" w:cs="Times New Roman"/>
          <w:bCs/>
          <w:color w:val="000000"/>
          <w:lang w:eastAsia="da-DK"/>
        </w:rPr>
        <w:t>Lægemiddelstyrelsen</w:t>
      </w:r>
      <w:r w:rsidR="003A31D5" w:rsidRPr="00577043">
        <w:rPr>
          <w:rFonts w:eastAsia="Times New Roman" w:cs="Times New Roman"/>
          <w:bCs/>
          <w:color w:val="000000"/>
          <w:lang w:eastAsia="da-DK"/>
        </w:rPr>
        <w:t xml:space="preserve"> eller den videnskabsetiske komité </w:t>
      </w:r>
      <w:r w:rsidR="003D1436">
        <w:rPr>
          <w:rFonts w:eastAsia="Times New Roman" w:cs="Times New Roman"/>
          <w:bCs/>
          <w:color w:val="000000"/>
          <w:lang w:eastAsia="da-DK"/>
        </w:rPr>
        <w:t xml:space="preserve">er </w:t>
      </w:r>
      <w:r w:rsidR="00DC13CB" w:rsidRPr="00577043">
        <w:rPr>
          <w:rFonts w:eastAsia="Times New Roman" w:cs="Times New Roman"/>
          <w:bCs/>
          <w:color w:val="000000"/>
          <w:lang w:eastAsia="da-DK"/>
        </w:rPr>
        <w:t>u</w:t>
      </w:r>
      <w:r w:rsidR="005C6433" w:rsidRPr="00577043">
        <w:rPr>
          <w:rFonts w:eastAsia="Times New Roman" w:cs="Times New Roman"/>
          <w:bCs/>
          <w:color w:val="000000"/>
          <w:lang w:eastAsia="da-DK"/>
        </w:rPr>
        <w:t>enig i</w:t>
      </w:r>
      <w:r w:rsidR="003A31D5" w:rsidRPr="00577043">
        <w:rPr>
          <w:rFonts w:eastAsia="Times New Roman" w:cs="Times New Roman"/>
          <w:bCs/>
          <w:color w:val="000000"/>
          <w:lang w:eastAsia="da-DK"/>
        </w:rPr>
        <w:t xml:space="preserve"> den rapporterende medlemsstats overvejelser vedrørende forsøgspersonernes sikkerhed og dataenes</w:t>
      </w:r>
      <w:r w:rsidR="00FB3810" w:rsidRPr="00577043">
        <w:rPr>
          <w:rFonts w:eastAsia="Times New Roman" w:cs="Times New Roman"/>
          <w:bCs/>
          <w:color w:val="000000"/>
          <w:lang w:eastAsia="da-DK"/>
        </w:rPr>
        <w:t xml:space="preserve">, </w:t>
      </w:r>
      <w:r w:rsidR="003A31D5" w:rsidRPr="00577043">
        <w:rPr>
          <w:rFonts w:eastAsia="Times New Roman" w:cs="Times New Roman"/>
          <w:bCs/>
          <w:color w:val="000000"/>
          <w:lang w:eastAsia="da-DK"/>
        </w:rPr>
        <w:t xml:space="preserve">pålidelighed og robusthed, som er fremlagt i henhold til forordningens artikel </w:t>
      </w:r>
      <w:r w:rsidR="001E06A2" w:rsidRPr="00577043">
        <w:rPr>
          <w:rFonts w:eastAsia="Times New Roman" w:cs="Times New Roman"/>
          <w:bCs/>
          <w:color w:val="000000"/>
          <w:lang w:eastAsia="da-DK"/>
        </w:rPr>
        <w:t>6</w:t>
      </w:r>
      <w:r w:rsidR="003A31D5" w:rsidRPr="00577043">
        <w:rPr>
          <w:rFonts w:eastAsia="Times New Roman" w:cs="Times New Roman"/>
          <w:bCs/>
          <w:color w:val="000000"/>
          <w:lang w:eastAsia="da-DK"/>
        </w:rPr>
        <w:t xml:space="preserve">. stk. 5 eller </w:t>
      </w:r>
      <w:r w:rsidR="001E06A2" w:rsidRPr="00577043">
        <w:rPr>
          <w:rFonts w:eastAsia="Times New Roman" w:cs="Times New Roman"/>
          <w:bCs/>
          <w:color w:val="000000"/>
          <w:lang w:eastAsia="da-DK"/>
        </w:rPr>
        <w:t>8</w:t>
      </w:r>
      <w:r w:rsidR="00FB3810" w:rsidRPr="00577043">
        <w:rPr>
          <w:rFonts w:eastAsia="Times New Roman" w:cs="Times New Roman"/>
          <w:bCs/>
          <w:color w:val="000000"/>
          <w:lang w:eastAsia="da-DK"/>
        </w:rPr>
        <w:t>, jf. art</w:t>
      </w:r>
      <w:r w:rsidR="006F7844">
        <w:rPr>
          <w:rFonts w:eastAsia="Times New Roman" w:cs="Times New Roman"/>
          <w:bCs/>
          <w:color w:val="000000"/>
          <w:lang w:eastAsia="da-DK"/>
        </w:rPr>
        <w:t>ikel</w:t>
      </w:r>
      <w:r w:rsidR="00FB3810" w:rsidRPr="00577043">
        <w:rPr>
          <w:rFonts w:eastAsia="Times New Roman" w:cs="Times New Roman"/>
          <w:bCs/>
          <w:color w:val="000000"/>
          <w:lang w:eastAsia="da-DK"/>
        </w:rPr>
        <w:t xml:space="preserve"> 8, stk. 2, litra c</w:t>
      </w:r>
      <w:r w:rsidR="003A31D5" w:rsidRPr="00577043">
        <w:rPr>
          <w:rFonts w:eastAsia="Times New Roman" w:cs="Times New Roman"/>
          <w:bCs/>
          <w:color w:val="000000"/>
          <w:lang w:eastAsia="da-DK"/>
        </w:rPr>
        <w:t>.</w:t>
      </w:r>
      <w:r w:rsidR="009255FE" w:rsidRPr="00577043">
        <w:rPr>
          <w:rFonts w:eastAsia="Times New Roman" w:cs="Times New Roman"/>
          <w:bCs/>
          <w:color w:val="000000"/>
          <w:lang w:eastAsia="da-DK"/>
        </w:rPr>
        <w:t xml:space="preserve"> </w:t>
      </w:r>
    </w:p>
    <w:p w14:paraId="095F1381" w14:textId="77777777" w:rsidR="001C3FC4" w:rsidRPr="00577043" w:rsidRDefault="001C3FC4" w:rsidP="00CB2276">
      <w:pPr>
        <w:rPr>
          <w:rFonts w:eastAsia="Times New Roman" w:cs="Times New Roman"/>
          <w:bCs/>
          <w:color w:val="000000"/>
          <w:lang w:eastAsia="da-DK"/>
        </w:rPr>
      </w:pPr>
    </w:p>
    <w:p w14:paraId="1F7C018D" w14:textId="77777777" w:rsidR="001C3FC4" w:rsidRPr="00577043" w:rsidRDefault="006F0478" w:rsidP="001C3FC4">
      <w:pPr>
        <w:rPr>
          <w:rFonts w:eastAsia="Times New Roman" w:cs="Times New Roman"/>
          <w:bCs/>
          <w:color w:val="000000"/>
          <w:lang w:eastAsia="da-DK"/>
        </w:rPr>
      </w:pPr>
      <w:r w:rsidRPr="00577043">
        <w:rPr>
          <w:rFonts w:eastAsia="Times New Roman" w:cs="Times New Roman"/>
          <w:bCs/>
          <w:color w:val="000000"/>
          <w:lang w:eastAsia="da-DK"/>
        </w:rPr>
        <w:t>Endelig</w:t>
      </w:r>
      <w:r w:rsidR="001C3FC4" w:rsidRPr="00577043">
        <w:rPr>
          <w:rFonts w:eastAsia="Times New Roman" w:cs="Times New Roman"/>
          <w:bCs/>
          <w:color w:val="000000"/>
          <w:lang w:eastAsia="da-DK"/>
        </w:rPr>
        <w:t xml:space="preserve"> </w:t>
      </w:r>
      <w:r w:rsidR="00195BD6">
        <w:rPr>
          <w:rFonts w:eastAsia="Times New Roman" w:cs="Times New Roman"/>
          <w:bCs/>
          <w:color w:val="000000"/>
          <w:lang w:eastAsia="da-DK"/>
        </w:rPr>
        <w:t xml:space="preserve">skal </w:t>
      </w:r>
      <w:r w:rsidR="0058651B">
        <w:rPr>
          <w:rFonts w:eastAsia="Times New Roman" w:cs="Times New Roman"/>
          <w:bCs/>
          <w:color w:val="000000"/>
          <w:lang w:eastAsia="da-DK"/>
        </w:rPr>
        <w:t>Lægemiddelstyrelsen</w:t>
      </w:r>
      <w:r w:rsidR="001C3FC4" w:rsidRPr="00577043">
        <w:rPr>
          <w:rFonts w:eastAsia="Times New Roman" w:cs="Times New Roman"/>
          <w:bCs/>
          <w:color w:val="000000"/>
          <w:lang w:eastAsia="da-DK"/>
        </w:rPr>
        <w:t xml:space="preserve"> </w:t>
      </w:r>
      <w:r w:rsidR="00195BD6">
        <w:rPr>
          <w:rFonts w:eastAsia="Times New Roman" w:cs="Times New Roman"/>
          <w:bCs/>
          <w:color w:val="000000"/>
          <w:lang w:eastAsia="da-DK"/>
        </w:rPr>
        <w:t xml:space="preserve">afvise at </w:t>
      </w:r>
      <w:r w:rsidR="001C3FC4" w:rsidRPr="00577043">
        <w:rPr>
          <w:rFonts w:eastAsia="Times New Roman" w:cs="Times New Roman"/>
          <w:bCs/>
          <w:color w:val="000000"/>
          <w:lang w:eastAsia="da-DK"/>
        </w:rPr>
        <w:t>godkende et klinisk forsøg, hvis den videnskabsetiske lægemiddelkomité af behørigt begrundede årsager finder, at aspekter omfattet af omfattet af del II af vurderingsrapporten ikke e</w:t>
      </w:r>
      <w:r w:rsidR="000C526F" w:rsidRPr="00577043">
        <w:rPr>
          <w:rFonts w:eastAsia="Times New Roman" w:cs="Times New Roman"/>
          <w:bCs/>
          <w:color w:val="000000"/>
          <w:lang w:eastAsia="da-DK"/>
        </w:rPr>
        <w:t>r overholdt</w:t>
      </w:r>
      <w:r w:rsidRPr="00577043">
        <w:rPr>
          <w:rFonts w:eastAsia="Times New Roman" w:cs="Times New Roman"/>
          <w:bCs/>
          <w:color w:val="000000"/>
          <w:lang w:eastAsia="da-DK"/>
        </w:rPr>
        <w:t xml:space="preserve">, jf. forordningens </w:t>
      </w:r>
      <w:r w:rsidR="006F7844" w:rsidRPr="00577043">
        <w:rPr>
          <w:rFonts w:eastAsia="Times New Roman" w:cs="Times New Roman"/>
          <w:bCs/>
          <w:color w:val="000000"/>
          <w:lang w:eastAsia="da-DK"/>
        </w:rPr>
        <w:t>art</w:t>
      </w:r>
      <w:r w:rsidR="006F7844">
        <w:rPr>
          <w:rFonts w:eastAsia="Times New Roman" w:cs="Times New Roman"/>
          <w:bCs/>
          <w:color w:val="000000"/>
          <w:lang w:eastAsia="da-DK"/>
        </w:rPr>
        <w:t>ikel</w:t>
      </w:r>
      <w:r w:rsidR="006F7844" w:rsidRPr="00577043">
        <w:rPr>
          <w:rFonts w:eastAsia="Times New Roman" w:cs="Times New Roman"/>
          <w:bCs/>
          <w:color w:val="000000"/>
          <w:lang w:eastAsia="da-DK"/>
        </w:rPr>
        <w:t xml:space="preserve"> </w:t>
      </w:r>
      <w:r w:rsidRPr="00577043">
        <w:rPr>
          <w:rFonts w:eastAsia="Times New Roman" w:cs="Times New Roman"/>
          <w:bCs/>
          <w:color w:val="000000"/>
          <w:lang w:eastAsia="da-DK"/>
        </w:rPr>
        <w:t>8, stk. 4</w:t>
      </w:r>
      <w:r w:rsidR="000C526F" w:rsidRPr="00577043">
        <w:rPr>
          <w:rFonts w:eastAsia="Times New Roman" w:cs="Times New Roman"/>
          <w:bCs/>
          <w:color w:val="000000"/>
          <w:lang w:eastAsia="da-DK"/>
        </w:rPr>
        <w:t>.</w:t>
      </w:r>
      <w:r w:rsidR="00E91A4D" w:rsidRPr="00577043">
        <w:rPr>
          <w:rFonts w:eastAsia="Times New Roman" w:cs="Times New Roman"/>
          <w:bCs/>
          <w:color w:val="000000"/>
          <w:lang w:eastAsia="da-DK"/>
        </w:rPr>
        <w:t xml:space="preserve"> </w:t>
      </w:r>
    </w:p>
    <w:p w14:paraId="73542ED9" w14:textId="77777777" w:rsidR="001C3FC4" w:rsidRPr="00577043" w:rsidRDefault="001C3FC4" w:rsidP="00CB2276">
      <w:pPr>
        <w:rPr>
          <w:rFonts w:eastAsia="Times New Roman" w:cs="Times New Roman"/>
          <w:bCs/>
          <w:color w:val="000000"/>
          <w:lang w:eastAsia="da-DK"/>
        </w:rPr>
      </w:pPr>
    </w:p>
    <w:p w14:paraId="7F96369C" w14:textId="77777777" w:rsidR="008655DA" w:rsidRPr="00577043" w:rsidRDefault="008655DA" w:rsidP="008655DA">
      <w:pPr>
        <w:rPr>
          <w:rFonts w:eastAsia="Times New Roman" w:cs="Times New Roman"/>
          <w:bCs/>
          <w:color w:val="000000"/>
          <w:lang w:eastAsia="da-DK"/>
        </w:rPr>
      </w:pPr>
      <w:r>
        <w:rPr>
          <w:rFonts w:eastAsia="Times New Roman" w:cs="Times New Roman"/>
          <w:bCs/>
          <w:color w:val="000000"/>
          <w:lang w:eastAsia="da-DK"/>
        </w:rPr>
        <w:t xml:space="preserve">Sponsor kan som nævnt i afsnit 2.2.2.2. anmode om, at vurderingen af ansøgningen om godkendelse af et klinisk forsøg kun skal vedrøre de aspekter, der er omfattet af del I af vurderingsrapporten. I de tilfælde, hvor der er en positiv konklusion på vurderingen af aspekter omfattet af del I, skal sponsor inden 2 år fra denne dato indsende ansøgning om godkendelse af del II. Det vil herefter bero på vurderingen af del II i den videnskabsetiske lægemiddelkomité, om forsøget endeligt skal godkendes, jf. </w:t>
      </w:r>
      <w:r w:rsidR="006F7844" w:rsidRPr="00577043">
        <w:rPr>
          <w:rFonts w:eastAsia="Times New Roman" w:cs="Times New Roman"/>
          <w:bCs/>
          <w:color w:val="000000"/>
          <w:lang w:eastAsia="da-DK"/>
        </w:rPr>
        <w:t>art</w:t>
      </w:r>
      <w:r w:rsidR="006F7844">
        <w:rPr>
          <w:rFonts w:eastAsia="Times New Roman" w:cs="Times New Roman"/>
          <w:bCs/>
          <w:color w:val="000000"/>
          <w:lang w:eastAsia="da-DK"/>
        </w:rPr>
        <w:t>ikel</w:t>
      </w:r>
      <w:r>
        <w:rPr>
          <w:rFonts w:eastAsia="Times New Roman" w:cs="Times New Roman"/>
          <w:bCs/>
          <w:color w:val="000000"/>
          <w:lang w:eastAsia="da-DK"/>
        </w:rPr>
        <w:t xml:space="preserve"> 8, stk. 1 og 3. Det</w:t>
      </w:r>
      <w:r w:rsidRPr="00577043">
        <w:rPr>
          <w:rFonts w:eastAsia="Times New Roman" w:cs="Times New Roman"/>
          <w:bCs/>
          <w:color w:val="000000"/>
          <w:lang w:eastAsia="da-DK"/>
        </w:rPr>
        <w:t xml:space="preserve"> foreslås </w:t>
      </w:r>
      <w:r>
        <w:rPr>
          <w:rFonts w:eastAsia="Times New Roman" w:cs="Times New Roman"/>
          <w:bCs/>
          <w:color w:val="000000"/>
          <w:lang w:eastAsia="da-DK"/>
        </w:rPr>
        <w:t xml:space="preserve">derfor </w:t>
      </w:r>
      <w:r w:rsidRPr="00577043">
        <w:rPr>
          <w:rFonts w:eastAsia="Times New Roman" w:cs="Times New Roman"/>
          <w:bCs/>
          <w:color w:val="000000"/>
          <w:lang w:eastAsia="da-DK"/>
        </w:rPr>
        <w:t xml:space="preserve">med § </w:t>
      </w:r>
      <w:r w:rsidR="00175A31">
        <w:rPr>
          <w:rFonts w:eastAsia="Times New Roman" w:cs="Times New Roman"/>
          <w:bCs/>
          <w:color w:val="000000"/>
          <w:lang w:eastAsia="da-DK"/>
        </w:rPr>
        <w:t>10</w:t>
      </w:r>
      <w:r w:rsidRPr="00577043">
        <w:rPr>
          <w:rFonts w:eastAsia="Times New Roman" w:cs="Times New Roman"/>
          <w:bCs/>
          <w:color w:val="000000"/>
          <w:lang w:eastAsia="da-DK"/>
        </w:rPr>
        <w:t xml:space="preserve">, stk. </w:t>
      </w:r>
      <w:r>
        <w:rPr>
          <w:rFonts w:eastAsia="Times New Roman" w:cs="Times New Roman"/>
          <w:bCs/>
          <w:color w:val="000000"/>
          <w:lang w:eastAsia="da-DK"/>
        </w:rPr>
        <w:t>3</w:t>
      </w:r>
      <w:r w:rsidRPr="00577043">
        <w:rPr>
          <w:rFonts w:eastAsia="Times New Roman" w:cs="Times New Roman"/>
          <w:bCs/>
          <w:color w:val="000000"/>
          <w:lang w:eastAsia="da-DK"/>
        </w:rPr>
        <w:t xml:space="preserve">, at en videnskabsetisk lægemiddelkomité træffer afgørelse om godkendelse af et forsøg, når </w:t>
      </w:r>
      <w:r>
        <w:rPr>
          <w:rFonts w:eastAsia="Times New Roman" w:cs="Times New Roman"/>
          <w:bCs/>
          <w:color w:val="000000"/>
          <w:lang w:eastAsia="da-DK"/>
        </w:rPr>
        <w:t xml:space="preserve">en ansøgning alene vedrører aspekter omfattet af del II af vurderingsrapporten, og </w:t>
      </w:r>
      <w:r w:rsidRPr="00577043">
        <w:rPr>
          <w:rFonts w:eastAsia="Times New Roman" w:cs="Times New Roman"/>
          <w:bCs/>
          <w:color w:val="000000"/>
          <w:lang w:eastAsia="da-DK"/>
        </w:rPr>
        <w:t>Danmark ikke har erklæret sig uenig i den rapporterende medlemsstats konklusion for så vidt angår del I af vurderingsrapporten</w:t>
      </w:r>
      <w:r>
        <w:rPr>
          <w:rFonts w:eastAsia="Times New Roman" w:cs="Times New Roman"/>
          <w:bCs/>
          <w:color w:val="000000"/>
          <w:lang w:eastAsia="da-DK"/>
        </w:rPr>
        <w:t>.</w:t>
      </w:r>
      <w:r w:rsidRPr="00577043">
        <w:rPr>
          <w:rFonts w:eastAsia="Times New Roman" w:cs="Times New Roman"/>
          <w:bCs/>
          <w:color w:val="000000"/>
          <w:lang w:eastAsia="da-DK"/>
        </w:rPr>
        <w:t xml:space="preserve"> </w:t>
      </w:r>
    </w:p>
    <w:p w14:paraId="40BA0192" w14:textId="77777777" w:rsidR="008655DA" w:rsidRDefault="008655DA" w:rsidP="008655DA">
      <w:pPr>
        <w:rPr>
          <w:rFonts w:eastAsia="Times New Roman" w:cs="Times New Roman"/>
          <w:bCs/>
          <w:color w:val="000000"/>
          <w:lang w:eastAsia="da-DK"/>
        </w:rPr>
      </w:pPr>
    </w:p>
    <w:p w14:paraId="3ADB2477" w14:textId="77777777" w:rsidR="00A22211" w:rsidRPr="00577043" w:rsidRDefault="0058651B" w:rsidP="008655DA">
      <w:pPr>
        <w:rPr>
          <w:rFonts w:eastAsia="Times New Roman" w:cs="Times New Roman"/>
          <w:bCs/>
          <w:color w:val="000000"/>
          <w:lang w:eastAsia="da-DK"/>
        </w:rPr>
      </w:pPr>
      <w:r>
        <w:rPr>
          <w:rFonts w:eastAsia="Times New Roman" w:cs="Times New Roman"/>
          <w:bCs/>
          <w:color w:val="000000"/>
          <w:lang w:eastAsia="da-DK"/>
        </w:rPr>
        <w:t>Lægemiddelstyrelsen</w:t>
      </w:r>
      <w:r w:rsidR="00AB2408" w:rsidRPr="00577043">
        <w:rPr>
          <w:rFonts w:eastAsia="Times New Roman" w:cs="Times New Roman"/>
          <w:bCs/>
          <w:color w:val="000000"/>
          <w:lang w:eastAsia="da-DK"/>
        </w:rPr>
        <w:t xml:space="preserve"> </w:t>
      </w:r>
      <w:r w:rsidR="008655DA">
        <w:rPr>
          <w:rFonts w:eastAsia="Times New Roman" w:cs="Times New Roman"/>
          <w:bCs/>
          <w:color w:val="000000"/>
          <w:lang w:eastAsia="da-DK"/>
        </w:rPr>
        <w:t xml:space="preserve">skal </w:t>
      </w:r>
      <w:r w:rsidR="00AB2408" w:rsidRPr="00577043">
        <w:rPr>
          <w:rFonts w:eastAsia="Times New Roman" w:cs="Times New Roman"/>
          <w:bCs/>
          <w:color w:val="000000"/>
          <w:lang w:eastAsia="da-DK"/>
        </w:rPr>
        <w:t xml:space="preserve">efter den foreslåede § </w:t>
      </w:r>
      <w:r w:rsidR="00412445">
        <w:rPr>
          <w:rFonts w:eastAsia="Times New Roman" w:cs="Times New Roman"/>
          <w:bCs/>
          <w:color w:val="000000"/>
          <w:lang w:eastAsia="da-DK"/>
        </w:rPr>
        <w:t>11</w:t>
      </w:r>
      <w:r w:rsidR="00AB2408" w:rsidRPr="00577043">
        <w:rPr>
          <w:rFonts w:eastAsia="Times New Roman" w:cs="Times New Roman"/>
          <w:bCs/>
          <w:color w:val="000000"/>
          <w:lang w:eastAsia="da-DK"/>
        </w:rPr>
        <w:t xml:space="preserve">, stk. </w:t>
      </w:r>
      <w:r w:rsidR="00C72873">
        <w:rPr>
          <w:rFonts w:eastAsia="Times New Roman" w:cs="Times New Roman"/>
          <w:bCs/>
          <w:color w:val="000000"/>
          <w:lang w:eastAsia="da-DK"/>
        </w:rPr>
        <w:t>1</w:t>
      </w:r>
      <w:r w:rsidR="00AB2408" w:rsidRPr="00577043">
        <w:rPr>
          <w:rFonts w:eastAsia="Times New Roman" w:cs="Times New Roman"/>
          <w:bCs/>
          <w:color w:val="000000"/>
          <w:lang w:eastAsia="da-DK"/>
        </w:rPr>
        <w:t xml:space="preserve">, træffe afgørelse </w:t>
      </w:r>
      <w:r w:rsidR="00E53C17">
        <w:rPr>
          <w:rFonts w:eastAsia="Times New Roman" w:cs="Times New Roman"/>
          <w:bCs/>
          <w:color w:val="000000"/>
          <w:lang w:eastAsia="da-DK"/>
        </w:rPr>
        <w:t>om</w:t>
      </w:r>
      <w:r w:rsidR="00AB2408" w:rsidRPr="00577043">
        <w:rPr>
          <w:rFonts w:eastAsia="Times New Roman" w:cs="Times New Roman"/>
          <w:bCs/>
          <w:color w:val="000000"/>
          <w:lang w:eastAsia="da-DK"/>
        </w:rPr>
        <w:t xml:space="preserve"> ansøgninger om en væsentlig ændring af et aspekt, der er omfattet af del I af vurderingsrapporten, jf. forordningens </w:t>
      </w:r>
      <w:r w:rsidR="006F7844" w:rsidRPr="00577043">
        <w:rPr>
          <w:rFonts w:eastAsia="Times New Roman" w:cs="Times New Roman"/>
          <w:bCs/>
          <w:color w:val="000000"/>
          <w:lang w:eastAsia="da-DK"/>
        </w:rPr>
        <w:t>art</w:t>
      </w:r>
      <w:r w:rsidR="006F7844">
        <w:rPr>
          <w:rFonts w:eastAsia="Times New Roman" w:cs="Times New Roman"/>
          <w:bCs/>
          <w:color w:val="000000"/>
          <w:lang w:eastAsia="da-DK"/>
        </w:rPr>
        <w:t>ikel</w:t>
      </w:r>
      <w:r w:rsidR="00AB2408" w:rsidRPr="00577043">
        <w:rPr>
          <w:rFonts w:eastAsia="Times New Roman" w:cs="Times New Roman"/>
          <w:bCs/>
          <w:color w:val="000000"/>
          <w:lang w:eastAsia="da-DK"/>
        </w:rPr>
        <w:t xml:space="preserve"> 19, stk. 1, eller en væsentlig ændring af aspekt, der er omfattet af del I og II af vurderingsrapporten</w:t>
      </w:r>
      <w:r w:rsidR="00A22211" w:rsidRPr="00577043">
        <w:rPr>
          <w:rFonts w:eastAsia="Times New Roman" w:cs="Times New Roman"/>
          <w:bCs/>
          <w:color w:val="000000"/>
          <w:lang w:eastAsia="da-DK"/>
        </w:rPr>
        <w:t xml:space="preserve">, jf. forordningens </w:t>
      </w:r>
      <w:r w:rsidR="006F7844" w:rsidRPr="00577043">
        <w:rPr>
          <w:rFonts w:eastAsia="Times New Roman" w:cs="Times New Roman"/>
          <w:bCs/>
          <w:color w:val="000000"/>
          <w:lang w:eastAsia="da-DK"/>
        </w:rPr>
        <w:t>art</w:t>
      </w:r>
      <w:r w:rsidR="006F7844">
        <w:rPr>
          <w:rFonts w:eastAsia="Times New Roman" w:cs="Times New Roman"/>
          <w:bCs/>
          <w:color w:val="000000"/>
          <w:lang w:eastAsia="da-DK"/>
        </w:rPr>
        <w:t>ikel</w:t>
      </w:r>
      <w:r w:rsidR="00A22211" w:rsidRPr="00577043">
        <w:rPr>
          <w:rFonts w:eastAsia="Times New Roman" w:cs="Times New Roman"/>
          <w:bCs/>
          <w:color w:val="000000"/>
          <w:lang w:eastAsia="da-DK"/>
        </w:rPr>
        <w:t xml:space="preserve"> 23, stk. 1</w:t>
      </w:r>
      <w:r w:rsidR="00AB2408" w:rsidRPr="00577043">
        <w:rPr>
          <w:rFonts w:eastAsia="Times New Roman" w:cs="Times New Roman"/>
          <w:bCs/>
          <w:color w:val="000000"/>
          <w:lang w:eastAsia="da-DK"/>
        </w:rPr>
        <w:t>.</w:t>
      </w:r>
      <w:r w:rsidR="00B2485C" w:rsidRPr="00577043">
        <w:rPr>
          <w:rFonts w:eastAsia="Times New Roman" w:cs="Times New Roman"/>
          <w:bCs/>
          <w:color w:val="000000"/>
          <w:lang w:eastAsia="da-DK"/>
        </w:rPr>
        <w:t xml:space="preserve"> </w:t>
      </w:r>
      <w:r>
        <w:rPr>
          <w:rFonts w:eastAsia="Times New Roman" w:cs="Times New Roman"/>
          <w:bCs/>
          <w:color w:val="000000"/>
          <w:lang w:eastAsia="da-DK"/>
        </w:rPr>
        <w:t>Lægemiddelstyrelsen</w:t>
      </w:r>
      <w:r w:rsidR="00B2485C" w:rsidRPr="00577043">
        <w:rPr>
          <w:rFonts w:eastAsia="Times New Roman" w:cs="Times New Roman"/>
          <w:bCs/>
          <w:color w:val="000000"/>
          <w:lang w:eastAsia="da-DK"/>
        </w:rPr>
        <w:t>s afgørelse om godkendelse forudsætter også i disse sager, at den videnskabsetiske komité kan godkende forsøget, jf. ovenfor.</w:t>
      </w:r>
    </w:p>
    <w:p w14:paraId="0412CEB0" w14:textId="77777777" w:rsidR="00A22211" w:rsidRPr="00577043" w:rsidRDefault="00A22211" w:rsidP="00CB2276">
      <w:pPr>
        <w:rPr>
          <w:rFonts w:eastAsia="Times New Roman" w:cs="Times New Roman"/>
          <w:bCs/>
          <w:color w:val="000000"/>
          <w:lang w:eastAsia="da-DK"/>
        </w:rPr>
      </w:pPr>
    </w:p>
    <w:p w14:paraId="608FE72A" w14:textId="77777777" w:rsidR="00AB2408" w:rsidRPr="00577043" w:rsidRDefault="00A22211" w:rsidP="00CB2276">
      <w:pPr>
        <w:rPr>
          <w:rFonts w:eastAsia="Times New Roman" w:cs="Times New Roman"/>
          <w:bCs/>
          <w:color w:val="000000"/>
          <w:lang w:eastAsia="da-DK"/>
        </w:rPr>
      </w:pPr>
      <w:r w:rsidRPr="00577043">
        <w:rPr>
          <w:rFonts w:eastAsia="Times New Roman" w:cs="Times New Roman"/>
          <w:bCs/>
          <w:color w:val="000000"/>
          <w:lang w:eastAsia="da-DK"/>
        </w:rPr>
        <w:t xml:space="preserve">Det foreslås med § </w:t>
      </w:r>
      <w:r w:rsidR="00412445">
        <w:rPr>
          <w:rFonts w:eastAsia="Times New Roman" w:cs="Times New Roman"/>
          <w:bCs/>
          <w:color w:val="000000"/>
          <w:lang w:eastAsia="da-DK"/>
        </w:rPr>
        <w:t>11</w:t>
      </w:r>
      <w:r w:rsidRPr="00577043">
        <w:rPr>
          <w:rFonts w:eastAsia="Times New Roman" w:cs="Times New Roman"/>
          <w:bCs/>
          <w:color w:val="000000"/>
          <w:lang w:eastAsia="da-DK"/>
        </w:rPr>
        <w:t xml:space="preserve">, stk. </w:t>
      </w:r>
      <w:r w:rsidR="00C72873">
        <w:rPr>
          <w:rFonts w:eastAsia="Times New Roman" w:cs="Times New Roman"/>
          <w:bCs/>
          <w:color w:val="000000"/>
          <w:lang w:eastAsia="da-DK"/>
        </w:rPr>
        <w:t>2</w:t>
      </w:r>
      <w:r w:rsidRPr="00577043">
        <w:rPr>
          <w:rFonts w:eastAsia="Times New Roman" w:cs="Times New Roman"/>
          <w:bCs/>
          <w:color w:val="000000"/>
          <w:lang w:eastAsia="da-DK"/>
        </w:rPr>
        <w:t xml:space="preserve">, at den videnskabsetiske komité træffer afgørelse på en ansøgning om en væsentlig ændring af et aspekt, som er omfattet af del II af vurderingsrapporten, jf. forordningens </w:t>
      </w:r>
      <w:r w:rsidR="00FF06B0" w:rsidRPr="00577043">
        <w:rPr>
          <w:rFonts w:eastAsia="Times New Roman" w:cs="Times New Roman"/>
          <w:bCs/>
          <w:color w:val="000000"/>
          <w:lang w:eastAsia="da-DK"/>
        </w:rPr>
        <w:t>art</w:t>
      </w:r>
      <w:r w:rsidR="00FF06B0">
        <w:rPr>
          <w:rFonts w:eastAsia="Times New Roman" w:cs="Times New Roman"/>
          <w:bCs/>
          <w:color w:val="000000"/>
          <w:lang w:eastAsia="da-DK"/>
        </w:rPr>
        <w:t>ikel</w:t>
      </w:r>
      <w:r w:rsidRPr="00577043">
        <w:rPr>
          <w:rFonts w:eastAsia="Times New Roman" w:cs="Times New Roman"/>
          <w:bCs/>
          <w:color w:val="000000"/>
          <w:lang w:eastAsia="da-DK"/>
        </w:rPr>
        <w:t xml:space="preserve"> 20, stk. 5. </w:t>
      </w:r>
      <w:r w:rsidR="00AB2408" w:rsidRPr="00577043">
        <w:rPr>
          <w:rFonts w:eastAsia="Times New Roman" w:cs="Times New Roman"/>
          <w:bCs/>
          <w:color w:val="000000"/>
          <w:lang w:eastAsia="da-DK"/>
        </w:rPr>
        <w:t xml:space="preserve"> </w:t>
      </w:r>
    </w:p>
    <w:p w14:paraId="0BA41D10" w14:textId="77777777" w:rsidR="000259FD" w:rsidRDefault="000259FD" w:rsidP="00CB2276">
      <w:pPr>
        <w:rPr>
          <w:rFonts w:eastAsia="Times New Roman" w:cs="Times New Roman"/>
          <w:bCs/>
          <w:color w:val="000000"/>
          <w:lang w:eastAsia="da-DK"/>
        </w:rPr>
      </w:pPr>
    </w:p>
    <w:p w14:paraId="31FBAA62" w14:textId="77777777" w:rsidR="002D4867" w:rsidRDefault="002D4867" w:rsidP="002D4867">
      <w:pPr>
        <w:rPr>
          <w:rFonts w:eastAsia="Times New Roman" w:cs="Times New Roman"/>
          <w:bCs/>
          <w:color w:val="000000"/>
          <w:lang w:eastAsia="da-DK"/>
        </w:rPr>
      </w:pPr>
      <w:r w:rsidRPr="00577043">
        <w:rPr>
          <w:rFonts w:eastAsia="Times New Roman" w:cs="Times New Roman"/>
          <w:bCs/>
          <w:color w:val="000000"/>
          <w:lang w:eastAsia="da-DK"/>
        </w:rPr>
        <w:t xml:space="preserve">For ansøgninger om godkendelse af et klinisk forsøg, hvor vurderingen heraf og konklusionen herpå kun skal vedrøre de aspekter, der er omfattet af del I af vurderingsrapporten, jf. forordningens </w:t>
      </w:r>
      <w:r w:rsidR="00FF06B0" w:rsidRPr="00577043">
        <w:rPr>
          <w:rFonts w:eastAsia="Times New Roman" w:cs="Times New Roman"/>
          <w:bCs/>
          <w:color w:val="000000"/>
          <w:lang w:eastAsia="da-DK"/>
        </w:rPr>
        <w:t>art</w:t>
      </w:r>
      <w:r w:rsidR="00FF06B0">
        <w:rPr>
          <w:rFonts w:eastAsia="Times New Roman" w:cs="Times New Roman"/>
          <w:bCs/>
          <w:color w:val="000000"/>
          <w:lang w:eastAsia="da-DK"/>
        </w:rPr>
        <w:t>ikel</w:t>
      </w:r>
      <w:r w:rsidRPr="00577043">
        <w:rPr>
          <w:rFonts w:eastAsia="Times New Roman" w:cs="Times New Roman"/>
          <w:bCs/>
          <w:color w:val="000000"/>
          <w:lang w:eastAsia="da-DK"/>
        </w:rPr>
        <w:t xml:space="preserve"> 11, skal de enkelte medlemsstater via EU-portalen underrette Kommissionen, alle medlemsstater og sponsor, såfremt medlemsstaten er uenig i den rapporterende medlemsstats konklusion for så vidt angår del I af </w:t>
      </w:r>
      <w:r w:rsidRPr="00577043">
        <w:rPr>
          <w:rFonts w:eastAsia="Times New Roman" w:cs="Times New Roman"/>
          <w:bCs/>
          <w:color w:val="000000"/>
          <w:lang w:eastAsia="da-DK"/>
        </w:rPr>
        <w:lastRenderedPageBreak/>
        <w:t xml:space="preserve">vurderingsrapporten, jf. </w:t>
      </w:r>
      <w:r w:rsidR="00FF06B0" w:rsidRPr="00577043">
        <w:rPr>
          <w:rFonts w:eastAsia="Times New Roman" w:cs="Times New Roman"/>
          <w:bCs/>
          <w:color w:val="000000"/>
          <w:lang w:eastAsia="da-DK"/>
        </w:rPr>
        <w:t>art</w:t>
      </w:r>
      <w:r w:rsidR="00FF06B0">
        <w:rPr>
          <w:rFonts w:eastAsia="Times New Roman" w:cs="Times New Roman"/>
          <w:bCs/>
          <w:color w:val="000000"/>
          <w:lang w:eastAsia="da-DK"/>
        </w:rPr>
        <w:t>ikel</w:t>
      </w:r>
      <w:r w:rsidRPr="00577043">
        <w:rPr>
          <w:rFonts w:eastAsia="Times New Roman" w:cs="Times New Roman"/>
          <w:bCs/>
          <w:color w:val="000000"/>
          <w:lang w:eastAsia="da-DK"/>
        </w:rPr>
        <w:t xml:space="preserve"> 8, stk. 2, sidste pkt. i forordningen. Det foreslås med § </w:t>
      </w:r>
      <w:r w:rsidR="00412445">
        <w:rPr>
          <w:rFonts w:eastAsia="Times New Roman" w:cs="Times New Roman"/>
          <w:bCs/>
          <w:color w:val="000000"/>
          <w:lang w:eastAsia="da-DK"/>
        </w:rPr>
        <w:t>10</w:t>
      </w:r>
      <w:r w:rsidRPr="00577043">
        <w:rPr>
          <w:rFonts w:eastAsia="Times New Roman" w:cs="Times New Roman"/>
          <w:bCs/>
          <w:color w:val="000000"/>
          <w:lang w:eastAsia="da-DK"/>
        </w:rPr>
        <w:t xml:space="preserve">, stk. 2, at det i givet fald er </w:t>
      </w:r>
      <w:r w:rsidR="0058651B">
        <w:rPr>
          <w:rFonts w:eastAsia="Times New Roman" w:cs="Times New Roman"/>
          <w:bCs/>
          <w:color w:val="000000"/>
          <w:lang w:eastAsia="da-DK"/>
        </w:rPr>
        <w:t>Lægemiddelstyrelsen</w:t>
      </w:r>
      <w:r w:rsidRPr="00577043">
        <w:rPr>
          <w:rFonts w:eastAsia="Times New Roman" w:cs="Times New Roman"/>
          <w:bCs/>
          <w:color w:val="000000"/>
          <w:lang w:eastAsia="da-DK"/>
        </w:rPr>
        <w:t xml:space="preserve">, som skal underrette Kommissionen, alle medlemsstater og sponsor om, at Danmark er uenig i tilfælde af, at enten </w:t>
      </w:r>
      <w:r w:rsidR="0058651B">
        <w:rPr>
          <w:rFonts w:eastAsia="Times New Roman" w:cs="Times New Roman"/>
          <w:bCs/>
          <w:color w:val="000000"/>
          <w:lang w:eastAsia="da-DK"/>
        </w:rPr>
        <w:t>Lægemiddelstyrelsen</w:t>
      </w:r>
      <w:r w:rsidRPr="00577043">
        <w:rPr>
          <w:rFonts w:eastAsia="Times New Roman" w:cs="Times New Roman"/>
          <w:bCs/>
          <w:color w:val="000000"/>
          <w:lang w:eastAsia="da-DK"/>
        </w:rPr>
        <w:t xml:space="preserve"> eller den videnskabsetiske lægemiddelkomité er uenig i den rapporterende medlemsstats konklusion.</w:t>
      </w:r>
    </w:p>
    <w:p w14:paraId="1EC43497" w14:textId="77777777" w:rsidR="002D4867" w:rsidRPr="00577043" w:rsidRDefault="002D4867" w:rsidP="00CB2276">
      <w:pPr>
        <w:rPr>
          <w:rFonts w:eastAsia="Times New Roman" w:cs="Times New Roman"/>
          <w:bCs/>
          <w:color w:val="000000"/>
          <w:lang w:eastAsia="da-DK"/>
        </w:rPr>
      </w:pPr>
    </w:p>
    <w:p w14:paraId="6822472A" w14:textId="77777777" w:rsidR="00532133" w:rsidRDefault="00532133" w:rsidP="00532133">
      <w:pPr>
        <w:rPr>
          <w:rFonts w:eastAsia="Times New Roman" w:cs="Times New Roman"/>
          <w:bCs/>
          <w:color w:val="000000"/>
          <w:lang w:eastAsia="da-DK"/>
        </w:rPr>
      </w:pPr>
      <w:r w:rsidRPr="00577043">
        <w:rPr>
          <w:rFonts w:eastAsia="Times New Roman" w:cs="Times New Roman"/>
          <w:bCs/>
          <w:color w:val="000000"/>
          <w:lang w:eastAsia="da-DK"/>
        </w:rPr>
        <w:t xml:space="preserve">Det forudsættes i alle de ovennævnte tilfælde, at behandlingen af ansøgninger i </w:t>
      </w:r>
      <w:r w:rsidR="00D96B92" w:rsidRPr="00577043">
        <w:rPr>
          <w:rFonts w:eastAsia="Times New Roman" w:cs="Times New Roman"/>
          <w:bCs/>
          <w:color w:val="000000"/>
          <w:lang w:eastAsia="da-DK"/>
        </w:rPr>
        <w:t>nødvendigt</w:t>
      </w:r>
      <w:r w:rsidRPr="00577043">
        <w:rPr>
          <w:rFonts w:eastAsia="Times New Roman" w:cs="Times New Roman"/>
          <w:bCs/>
          <w:color w:val="000000"/>
          <w:lang w:eastAsia="da-DK"/>
        </w:rPr>
        <w:t xml:space="preserve"> omfang sker på baggrund af en dialog mellem </w:t>
      </w:r>
      <w:r w:rsidR="0058651B">
        <w:rPr>
          <w:rFonts w:eastAsia="Times New Roman" w:cs="Times New Roman"/>
          <w:bCs/>
          <w:color w:val="000000"/>
          <w:lang w:eastAsia="da-DK"/>
        </w:rPr>
        <w:t>Lægemiddelstyrelsen</w:t>
      </w:r>
      <w:r w:rsidRPr="00577043">
        <w:rPr>
          <w:rFonts w:eastAsia="Times New Roman" w:cs="Times New Roman"/>
          <w:bCs/>
          <w:color w:val="000000"/>
          <w:lang w:eastAsia="da-DK"/>
        </w:rPr>
        <w:t xml:space="preserve"> og den videnskabsetiske lægemiddelkomité, </w:t>
      </w:r>
      <w:r w:rsidR="00D96B92" w:rsidRPr="00577043">
        <w:rPr>
          <w:rFonts w:eastAsia="Times New Roman" w:cs="Times New Roman"/>
          <w:bCs/>
          <w:color w:val="000000"/>
          <w:lang w:eastAsia="da-DK"/>
        </w:rPr>
        <w:t xml:space="preserve">jf. den foreslåede § </w:t>
      </w:r>
      <w:r w:rsidR="00412445">
        <w:rPr>
          <w:rFonts w:eastAsia="Times New Roman" w:cs="Times New Roman"/>
          <w:bCs/>
          <w:color w:val="000000"/>
          <w:lang w:eastAsia="da-DK"/>
        </w:rPr>
        <w:t>9</w:t>
      </w:r>
      <w:r w:rsidR="00D96B92" w:rsidRPr="00577043">
        <w:rPr>
          <w:rFonts w:eastAsia="Times New Roman" w:cs="Times New Roman"/>
          <w:bCs/>
          <w:color w:val="000000"/>
          <w:lang w:eastAsia="da-DK"/>
        </w:rPr>
        <w:t xml:space="preserve">, stk. 1, </w:t>
      </w:r>
      <w:r w:rsidRPr="00577043">
        <w:rPr>
          <w:rFonts w:eastAsia="Times New Roman" w:cs="Times New Roman"/>
          <w:bCs/>
          <w:color w:val="000000"/>
          <w:lang w:eastAsia="da-DK"/>
        </w:rPr>
        <w:t xml:space="preserve">under </w:t>
      </w:r>
      <w:r w:rsidR="00D96B92" w:rsidRPr="00577043">
        <w:rPr>
          <w:rFonts w:eastAsia="Times New Roman" w:cs="Times New Roman"/>
          <w:bCs/>
          <w:color w:val="000000"/>
          <w:lang w:eastAsia="da-DK"/>
        </w:rPr>
        <w:t xml:space="preserve">behørig </w:t>
      </w:r>
      <w:r w:rsidRPr="00577043">
        <w:rPr>
          <w:rFonts w:eastAsia="Times New Roman" w:cs="Times New Roman"/>
          <w:bCs/>
          <w:color w:val="000000"/>
          <w:lang w:eastAsia="da-DK"/>
        </w:rPr>
        <w:t xml:space="preserve">hensyntagen til at komiteens vurdering skal være uafhængig. </w:t>
      </w:r>
    </w:p>
    <w:p w14:paraId="06110CF3" w14:textId="77777777" w:rsidR="001A6BAD" w:rsidRDefault="001A6BAD" w:rsidP="00532133">
      <w:pPr>
        <w:rPr>
          <w:rFonts w:eastAsia="Times New Roman" w:cs="Times New Roman"/>
          <w:bCs/>
          <w:color w:val="000000"/>
          <w:lang w:eastAsia="da-DK"/>
        </w:rPr>
      </w:pPr>
    </w:p>
    <w:p w14:paraId="572A6EF6" w14:textId="77777777" w:rsidR="0094235F" w:rsidRPr="001A6BAD" w:rsidRDefault="0094235F" w:rsidP="0094235F">
      <w:pPr>
        <w:rPr>
          <w:rFonts w:eastAsia="Times New Roman" w:cs="Times New Roman"/>
          <w:bCs/>
          <w:i/>
          <w:color w:val="000000"/>
          <w:lang w:eastAsia="da-DK"/>
        </w:rPr>
      </w:pPr>
      <w:r>
        <w:rPr>
          <w:rFonts w:eastAsia="Times New Roman" w:cs="Times New Roman"/>
          <w:bCs/>
          <w:i/>
          <w:color w:val="000000"/>
          <w:lang w:eastAsia="da-DK"/>
        </w:rPr>
        <w:t>2.2.2.7.1. Dokumentation for underskrift i afgørelsessager</w:t>
      </w:r>
    </w:p>
    <w:p w14:paraId="11EFC569" w14:textId="77777777" w:rsidR="0094235F" w:rsidRDefault="0094235F" w:rsidP="0094235F">
      <w:pPr>
        <w:rPr>
          <w:rFonts w:eastAsia="Times New Roman" w:cs="Times New Roman"/>
          <w:bCs/>
          <w:color w:val="000000"/>
          <w:lang w:eastAsia="da-DK"/>
        </w:rPr>
      </w:pPr>
      <w:r>
        <w:rPr>
          <w:rFonts w:eastAsia="Times New Roman" w:cs="Times New Roman"/>
          <w:bCs/>
          <w:color w:val="000000"/>
          <w:lang w:eastAsia="da-DK"/>
        </w:rPr>
        <w:t xml:space="preserve">Forordningen forudsætter, at alle afgørelser og beslutninger efter forordningens bestemmelser meddeles sponsor via en EU portal, som Den Europæiske Lægemiddelagentur er ansvarlig for sammen med medlemsstaterne og EU kommissionen. Samtidig skal der etableres en EU-database til at understøtte samarbejdet mellem de berørte medlemsstater med anvendelse af forordningen, og </w:t>
      </w:r>
      <w:r w:rsidR="00934DED">
        <w:rPr>
          <w:rFonts w:eastAsia="Times New Roman" w:cs="Times New Roman"/>
          <w:bCs/>
          <w:color w:val="000000"/>
          <w:lang w:eastAsia="da-DK"/>
        </w:rPr>
        <w:t xml:space="preserve">databasen </w:t>
      </w:r>
      <w:r>
        <w:rPr>
          <w:rFonts w:eastAsia="Times New Roman" w:cs="Times New Roman"/>
          <w:bCs/>
          <w:color w:val="000000"/>
          <w:lang w:eastAsia="da-DK"/>
        </w:rPr>
        <w:t>skal lette kommunikationen mellem medlemsstaterne og sponsorerne, jf. artikel 80 og 81, stk. 1 og 1.</w:t>
      </w:r>
    </w:p>
    <w:p w14:paraId="36751228" w14:textId="77777777" w:rsidR="0094235F" w:rsidRDefault="0094235F" w:rsidP="0094235F">
      <w:pPr>
        <w:rPr>
          <w:rFonts w:eastAsia="Times New Roman" w:cs="Times New Roman"/>
          <w:bCs/>
          <w:color w:val="000000"/>
          <w:lang w:eastAsia="da-DK"/>
        </w:rPr>
      </w:pPr>
    </w:p>
    <w:p w14:paraId="4446472C" w14:textId="77777777" w:rsidR="0094235F" w:rsidRDefault="0094235F" w:rsidP="0094235F">
      <w:pPr>
        <w:rPr>
          <w:rFonts w:eastAsia="Times New Roman" w:cs="Times New Roman"/>
          <w:bCs/>
          <w:color w:val="000000"/>
          <w:lang w:eastAsia="da-DK"/>
        </w:rPr>
      </w:pPr>
      <w:r>
        <w:rPr>
          <w:rFonts w:eastAsia="Times New Roman" w:cs="Times New Roman"/>
          <w:bCs/>
          <w:color w:val="000000"/>
          <w:lang w:eastAsia="da-DK"/>
        </w:rPr>
        <w:t>Databasen er under udvikling</w:t>
      </w:r>
      <w:r w:rsidR="00D426AE">
        <w:rPr>
          <w:rFonts w:eastAsia="Times New Roman" w:cs="Times New Roman"/>
          <w:bCs/>
          <w:color w:val="000000"/>
          <w:lang w:eastAsia="da-DK"/>
        </w:rPr>
        <w:t>,</w:t>
      </w:r>
      <w:r>
        <w:rPr>
          <w:rFonts w:eastAsia="Times New Roman" w:cs="Times New Roman"/>
          <w:bCs/>
          <w:color w:val="000000"/>
          <w:lang w:eastAsia="da-DK"/>
        </w:rPr>
        <w:t xml:space="preserve"> og det er derfor ikke muligt på nuværende tidspunkt at vurdere</w:t>
      </w:r>
      <w:r w:rsidR="00934DED">
        <w:rPr>
          <w:rFonts w:eastAsia="Times New Roman" w:cs="Times New Roman"/>
          <w:bCs/>
          <w:color w:val="000000"/>
          <w:lang w:eastAsia="da-DK"/>
        </w:rPr>
        <w:t xml:space="preserve"> databasens tekniske muligheder. Det er bl.a. uvist, om </w:t>
      </w:r>
      <w:r>
        <w:rPr>
          <w:rFonts w:eastAsia="Times New Roman" w:cs="Times New Roman"/>
          <w:bCs/>
          <w:color w:val="000000"/>
          <w:lang w:eastAsia="da-DK"/>
        </w:rPr>
        <w:t xml:space="preserve">afgørelser og meddelelser, der sendes via portalen, kan blive forsynet med en personlig underskrift, eller </w:t>
      </w:r>
      <w:r w:rsidR="00934DED">
        <w:rPr>
          <w:rFonts w:eastAsia="Times New Roman" w:cs="Times New Roman"/>
          <w:bCs/>
          <w:color w:val="000000"/>
          <w:lang w:eastAsia="da-DK"/>
        </w:rPr>
        <w:t xml:space="preserve">om der </w:t>
      </w:r>
      <w:r>
        <w:rPr>
          <w:rFonts w:eastAsia="Times New Roman" w:cs="Times New Roman"/>
          <w:bCs/>
          <w:color w:val="000000"/>
          <w:lang w:eastAsia="da-DK"/>
        </w:rPr>
        <w:t xml:space="preserve">på anden måde </w:t>
      </w:r>
      <w:r w:rsidR="00934DED">
        <w:rPr>
          <w:rFonts w:eastAsia="Times New Roman" w:cs="Times New Roman"/>
          <w:bCs/>
          <w:color w:val="000000"/>
          <w:lang w:eastAsia="da-DK"/>
        </w:rPr>
        <w:t>kan s</w:t>
      </w:r>
      <w:r>
        <w:rPr>
          <w:rFonts w:eastAsia="Times New Roman" w:cs="Times New Roman"/>
          <w:bCs/>
          <w:color w:val="000000"/>
          <w:lang w:eastAsia="da-DK"/>
        </w:rPr>
        <w:t>ikre</w:t>
      </w:r>
      <w:r w:rsidR="00934DED">
        <w:rPr>
          <w:rFonts w:eastAsia="Times New Roman" w:cs="Times New Roman"/>
          <w:bCs/>
          <w:color w:val="000000"/>
          <w:lang w:eastAsia="da-DK"/>
        </w:rPr>
        <w:t>s en</w:t>
      </w:r>
      <w:r>
        <w:rPr>
          <w:rFonts w:eastAsia="Times New Roman" w:cs="Times New Roman"/>
          <w:bCs/>
          <w:color w:val="000000"/>
          <w:lang w:eastAsia="da-DK"/>
        </w:rPr>
        <w:t xml:space="preserve"> entydig identifikation af den, som afsender </w:t>
      </w:r>
      <w:r w:rsidR="00934DED">
        <w:rPr>
          <w:rFonts w:eastAsia="Times New Roman" w:cs="Times New Roman"/>
          <w:bCs/>
          <w:color w:val="000000"/>
          <w:lang w:eastAsia="da-DK"/>
        </w:rPr>
        <w:t xml:space="preserve">et </w:t>
      </w:r>
      <w:r>
        <w:rPr>
          <w:rFonts w:eastAsia="Times New Roman" w:cs="Times New Roman"/>
          <w:bCs/>
          <w:color w:val="000000"/>
          <w:lang w:eastAsia="da-DK"/>
        </w:rPr>
        <w:t xml:space="preserve">dokument. </w:t>
      </w:r>
    </w:p>
    <w:p w14:paraId="57253721" w14:textId="77777777" w:rsidR="0094235F" w:rsidRDefault="0094235F" w:rsidP="0094235F">
      <w:pPr>
        <w:rPr>
          <w:rFonts w:eastAsia="Times New Roman" w:cs="Times New Roman"/>
          <w:bCs/>
          <w:color w:val="000000"/>
          <w:lang w:eastAsia="da-DK"/>
        </w:rPr>
      </w:pPr>
    </w:p>
    <w:p w14:paraId="49C0C627" w14:textId="77777777" w:rsidR="00D426AE" w:rsidRDefault="00934DED" w:rsidP="0094235F">
      <w:pPr>
        <w:rPr>
          <w:rFonts w:eastAsia="Times New Roman" w:cs="Times New Roman"/>
          <w:bCs/>
          <w:color w:val="000000"/>
          <w:lang w:eastAsia="da-DK"/>
        </w:rPr>
      </w:pPr>
      <w:r>
        <w:rPr>
          <w:rFonts w:eastAsia="Times New Roman" w:cs="Times New Roman"/>
          <w:bCs/>
          <w:color w:val="000000"/>
          <w:lang w:eastAsia="da-DK"/>
        </w:rPr>
        <w:t xml:space="preserve">Når EU portalen er færdigudviklet, vil </w:t>
      </w:r>
      <w:r w:rsidR="008B343D">
        <w:rPr>
          <w:rFonts w:eastAsia="Times New Roman" w:cs="Times New Roman"/>
          <w:bCs/>
          <w:color w:val="000000"/>
          <w:lang w:eastAsia="da-DK"/>
        </w:rPr>
        <w:t xml:space="preserve">den konkrete anvendelse af portalen blive nærmere undersøgt fra dansk side, herunder hvorledes den kan udnyttes bedst muligt i forhold til dansk overholdelse af </w:t>
      </w:r>
      <w:r w:rsidR="00D426AE">
        <w:rPr>
          <w:rFonts w:eastAsia="Times New Roman" w:cs="Times New Roman"/>
          <w:bCs/>
          <w:color w:val="000000"/>
          <w:lang w:eastAsia="da-DK"/>
        </w:rPr>
        <w:t>forvaltningslovens regler om entydig identifikation af personer, der indsender dokumenter i afgørelsessager.</w:t>
      </w:r>
    </w:p>
    <w:p w14:paraId="037EA5DB" w14:textId="77777777" w:rsidR="001A6BAD" w:rsidRDefault="001A6BAD" w:rsidP="00532133">
      <w:pPr>
        <w:rPr>
          <w:rFonts w:eastAsia="Times New Roman" w:cs="Times New Roman"/>
          <w:bCs/>
          <w:color w:val="000000"/>
          <w:lang w:eastAsia="da-DK"/>
        </w:rPr>
      </w:pPr>
    </w:p>
    <w:p w14:paraId="2CAD7450" w14:textId="77777777" w:rsidR="00643E9D" w:rsidRPr="00577043" w:rsidRDefault="001511E7" w:rsidP="00643E9D">
      <w:pPr>
        <w:pStyle w:val="Overskrift5"/>
        <w:rPr>
          <w:rFonts w:eastAsia="Times New Roman"/>
          <w:lang w:eastAsia="da-DK"/>
        </w:rPr>
      </w:pPr>
      <w:r w:rsidRPr="00577043">
        <w:rPr>
          <w:rFonts w:eastAsia="Times New Roman"/>
          <w:lang w:eastAsia="da-DK"/>
        </w:rPr>
        <w:t>2.</w:t>
      </w:r>
      <w:r w:rsidR="005F14CA" w:rsidRPr="00577043">
        <w:rPr>
          <w:rFonts w:eastAsia="Times New Roman"/>
          <w:lang w:eastAsia="da-DK"/>
        </w:rPr>
        <w:t>3</w:t>
      </w:r>
      <w:r w:rsidR="0086703E" w:rsidRPr="00577043">
        <w:rPr>
          <w:rFonts w:eastAsia="Times New Roman"/>
          <w:lang w:eastAsia="da-DK"/>
        </w:rPr>
        <w:t>. O</w:t>
      </w:r>
      <w:r w:rsidR="007264A2" w:rsidRPr="00577043">
        <w:rPr>
          <w:rFonts w:eastAsia="Times New Roman"/>
          <w:lang w:eastAsia="da-DK"/>
        </w:rPr>
        <w:t>pfølgning på forsøg</w:t>
      </w:r>
    </w:p>
    <w:p w14:paraId="1553EBEB" w14:textId="77777777" w:rsidR="001C2C6F" w:rsidRPr="00577043" w:rsidRDefault="001C2C6F" w:rsidP="00CB2276">
      <w:pPr>
        <w:rPr>
          <w:rFonts w:eastAsia="Times New Roman" w:cs="Times New Roman"/>
          <w:bCs/>
          <w:color w:val="000000"/>
          <w:lang w:eastAsia="da-DK"/>
        </w:rPr>
      </w:pPr>
    </w:p>
    <w:p w14:paraId="4F8E5B74" w14:textId="77777777" w:rsidR="001C2C6F" w:rsidRPr="00577043" w:rsidRDefault="001C2C6F" w:rsidP="00251FBA">
      <w:pPr>
        <w:rPr>
          <w:i/>
          <w:lang w:eastAsia="da-DK"/>
        </w:rPr>
      </w:pPr>
      <w:r w:rsidRPr="00577043">
        <w:rPr>
          <w:i/>
          <w:lang w:eastAsia="da-DK"/>
        </w:rPr>
        <w:t>2.3.1. Gældende re</w:t>
      </w:r>
      <w:r w:rsidR="008B366A">
        <w:rPr>
          <w:i/>
          <w:lang w:eastAsia="da-DK"/>
        </w:rPr>
        <w:t>t</w:t>
      </w:r>
    </w:p>
    <w:p w14:paraId="23575D1D" w14:textId="77777777" w:rsidR="00A260AB" w:rsidRPr="00577043" w:rsidRDefault="00A260AB" w:rsidP="00A260AB">
      <w:pPr>
        <w:rPr>
          <w:lang w:eastAsia="da-DK"/>
        </w:rPr>
      </w:pPr>
      <w:r w:rsidRPr="00577043">
        <w:rPr>
          <w:lang w:eastAsia="da-DK"/>
        </w:rPr>
        <w:t xml:space="preserve">Det </w:t>
      </w:r>
      <w:r w:rsidR="003D7EFA" w:rsidRPr="00577043">
        <w:rPr>
          <w:lang w:eastAsia="da-DK"/>
        </w:rPr>
        <w:t>fremgår af</w:t>
      </w:r>
      <w:r w:rsidRPr="00577043">
        <w:rPr>
          <w:lang w:eastAsia="da-DK"/>
        </w:rPr>
        <w:t xml:space="preserve"> komitélovens § 28, stk. 1, at tilsynet med godkendte sundhedsvidenskabelige forskningsprojekter, der angår lægemidler, udføres af </w:t>
      </w:r>
      <w:r w:rsidR="0058651B">
        <w:rPr>
          <w:lang w:eastAsia="da-DK"/>
        </w:rPr>
        <w:t>Lægemiddelstyrelsen</w:t>
      </w:r>
      <w:r w:rsidRPr="00577043">
        <w:rPr>
          <w:lang w:eastAsia="da-DK"/>
        </w:rPr>
        <w:t xml:space="preserve"> efter lov om lægemidler.</w:t>
      </w:r>
    </w:p>
    <w:p w14:paraId="699BF18E" w14:textId="77777777" w:rsidR="00A260AB" w:rsidRPr="00577043" w:rsidRDefault="00A260AB" w:rsidP="000D4E36">
      <w:pPr>
        <w:rPr>
          <w:lang w:eastAsia="da-DK"/>
        </w:rPr>
      </w:pPr>
    </w:p>
    <w:p w14:paraId="1E8ED47E" w14:textId="77777777" w:rsidR="002E25E4" w:rsidRPr="00577043" w:rsidRDefault="002E25E4" w:rsidP="002E25E4">
      <w:pPr>
        <w:rPr>
          <w:rFonts w:eastAsia="Times New Roman" w:cs="Times New Roman"/>
          <w:iCs/>
          <w:color w:val="000000"/>
          <w:lang w:eastAsia="da-DK"/>
        </w:rPr>
      </w:pPr>
      <w:r w:rsidRPr="00577043">
        <w:rPr>
          <w:rFonts w:eastAsia="Times New Roman" w:cs="Times New Roman"/>
          <w:iCs/>
          <w:color w:val="000000"/>
          <w:lang w:eastAsia="da-DK"/>
        </w:rPr>
        <w:t xml:space="preserve">Bestemmelser om </w:t>
      </w:r>
      <w:r w:rsidR="0058651B">
        <w:rPr>
          <w:rFonts w:eastAsia="Times New Roman" w:cs="Times New Roman"/>
          <w:iCs/>
          <w:color w:val="000000"/>
          <w:lang w:eastAsia="da-DK"/>
        </w:rPr>
        <w:t>Lægemiddelstyrelsen</w:t>
      </w:r>
      <w:r w:rsidRPr="00577043">
        <w:rPr>
          <w:rFonts w:eastAsia="Times New Roman" w:cs="Times New Roman"/>
          <w:iCs/>
          <w:color w:val="000000"/>
          <w:lang w:eastAsia="da-DK"/>
        </w:rPr>
        <w:t xml:space="preserve">s kontrol med kliniske forsøg med lægemidler er fastsat i §§ </w:t>
      </w:r>
      <w:r w:rsidR="00BC19AB" w:rsidRPr="00577043">
        <w:rPr>
          <w:rFonts w:eastAsia="Times New Roman" w:cs="Times New Roman"/>
          <w:iCs/>
          <w:color w:val="000000"/>
          <w:lang w:eastAsia="da-DK"/>
        </w:rPr>
        <w:t>89</w:t>
      </w:r>
      <w:r w:rsidRPr="00577043">
        <w:rPr>
          <w:rFonts w:eastAsia="Times New Roman" w:cs="Times New Roman"/>
          <w:iCs/>
          <w:color w:val="000000"/>
          <w:lang w:eastAsia="da-DK"/>
        </w:rPr>
        <w:t>-92 i lov om lægemidler</w:t>
      </w:r>
      <w:r w:rsidR="00D93F3C" w:rsidRPr="00577043">
        <w:rPr>
          <w:rFonts w:eastAsia="Times New Roman" w:cs="Times New Roman"/>
          <w:iCs/>
          <w:color w:val="000000"/>
          <w:lang w:eastAsia="da-DK"/>
        </w:rPr>
        <w:t>, og nærmere regler herom</w:t>
      </w:r>
      <w:r w:rsidRPr="00577043">
        <w:rPr>
          <w:rFonts w:eastAsia="Times New Roman" w:cs="Times New Roman"/>
          <w:iCs/>
          <w:color w:val="000000"/>
          <w:lang w:eastAsia="da-DK"/>
        </w:rPr>
        <w:t xml:space="preserve"> er fastsat i bekendtgørelse </w:t>
      </w:r>
      <w:r w:rsidRPr="00577043">
        <w:rPr>
          <w:rFonts w:eastAsia="Times New Roman" w:cs="Times New Roman"/>
          <w:bCs/>
          <w:color w:val="000000"/>
          <w:lang w:eastAsia="da-DK"/>
        </w:rPr>
        <w:t>nr. 295/2004 om god klinisk praksis i forbindelse med kliniske forsøg med lægemidler på mennesker</w:t>
      </w:r>
      <w:r w:rsidR="00925A20" w:rsidRPr="00925A20">
        <w:rPr>
          <w:rFonts w:eastAsia="Times New Roman" w:cs="Times New Roman"/>
          <w:bCs/>
          <w:color w:val="000000"/>
          <w:lang w:eastAsia="da-DK"/>
        </w:rPr>
        <w:t xml:space="preserve"> </w:t>
      </w:r>
      <w:r w:rsidR="00925A20">
        <w:rPr>
          <w:rFonts w:eastAsia="Times New Roman" w:cs="Times New Roman"/>
          <w:bCs/>
          <w:color w:val="000000"/>
          <w:lang w:eastAsia="da-DK"/>
        </w:rPr>
        <w:t>og bekendtgørelse nr. 295 af 26. april 2004 om kliniske forsøg med lægemidler på mennesker</w:t>
      </w:r>
      <w:r w:rsidRPr="00577043">
        <w:rPr>
          <w:rFonts w:eastAsia="Times New Roman" w:cs="Times New Roman"/>
          <w:iCs/>
          <w:color w:val="000000"/>
          <w:lang w:eastAsia="da-DK"/>
        </w:rPr>
        <w:t xml:space="preserve">. </w:t>
      </w:r>
    </w:p>
    <w:p w14:paraId="687A9B92" w14:textId="77777777" w:rsidR="002E25E4" w:rsidRPr="00577043" w:rsidRDefault="002E25E4" w:rsidP="000D4E36">
      <w:pPr>
        <w:rPr>
          <w:lang w:eastAsia="da-DK"/>
        </w:rPr>
      </w:pPr>
    </w:p>
    <w:p w14:paraId="42AF19EA" w14:textId="77777777" w:rsidR="00D15F56" w:rsidRPr="00577043" w:rsidRDefault="00AC775A" w:rsidP="000D4E36">
      <w:pPr>
        <w:rPr>
          <w:lang w:eastAsia="da-DK"/>
        </w:rPr>
      </w:pPr>
      <w:r w:rsidRPr="00577043">
        <w:rPr>
          <w:lang w:eastAsia="da-DK"/>
        </w:rPr>
        <w:t>Sponsor skal i medfør af lov om lægemidlers § 89, stk. 2</w:t>
      </w:r>
      <w:r w:rsidR="00D93F3C" w:rsidRPr="00577043">
        <w:rPr>
          <w:lang w:eastAsia="da-DK"/>
        </w:rPr>
        <w:t>,</w:t>
      </w:r>
      <w:r w:rsidRPr="00577043">
        <w:rPr>
          <w:lang w:eastAsia="da-DK"/>
        </w:rPr>
        <w:t xml:space="preserve"> bl.a. underrette </w:t>
      </w:r>
      <w:r w:rsidR="0058651B">
        <w:rPr>
          <w:lang w:eastAsia="da-DK"/>
        </w:rPr>
        <w:t>Lægemiddelstyrelsen</w:t>
      </w:r>
      <w:r w:rsidRPr="00577043">
        <w:rPr>
          <w:lang w:eastAsia="da-DK"/>
        </w:rPr>
        <w:t xml:space="preserve"> om uventede og alvorlige formodede bivirkninger, </w:t>
      </w:r>
      <w:r w:rsidR="00A260AB" w:rsidRPr="00577043">
        <w:rPr>
          <w:lang w:eastAsia="da-DK"/>
        </w:rPr>
        <w:t xml:space="preserve">samt </w:t>
      </w:r>
      <w:r w:rsidRPr="00577043">
        <w:rPr>
          <w:lang w:eastAsia="da-DK"/>
        </w:rPr>
        <w:t xml:space="preserve">årligt </w:t>
      </w:r>
      <w:r w:rsidR="00A260AB" w:rsidRPr="00577043">
        <w:rPr>
          <w:lang w:eastAsia="da-DK"/>
        </w:rPr>
        <w:t>udarbejde</w:t>
      </w:r>
      <w:r w:rsidRPr="00577043">
        <w:rPr>
          <w:lang w:eastAsia="da-DK"/>
        </w:rPr>
        <w:t xml:space="preserve"> en liste over alle formodede bivirkninger, som er indtruffet i forsøgsperioden og en rapport om forsøgspersonernes sikkerhed. </w:t>
      </w:r>
      <w:r w:rsidR="00611384" w:rsidRPr="00577043">
        <w:rPr>
          <w:lang w:eastAsia="da-DK"/>
        </w:rPr>
        <w:t>Tilsvar</w:t>
      </w:r>
      <w:r w:rsidR="00A260AB" w:rsidRPr="00577043">
        <w:rPr>
          <w:lang w:eastAsia="da-DK"/>
        </w:rPr>
        <w:t>ende oplysninger indsendes af sponsor til den tilsynsførende komité</w:t>
      </w:r>
      <w:r w:rsidR="003D7EFA" w:rsidRPr="00577043">
        <w:rPr>
          <w:lang w:eastAsia="da-DK"/>
        </w:rPr>
        <w:t>, jf. komitélovens § 30</w:t>
      </w:r>
      <w:r w:rsidR="00A260AB" w:rsidRPr="00577043">
        <w:rPr>
          <w:lang w:eastAsia="da-DK"/>
        </w:rPr>
        <w:t>.</w:t>
      </w:r>
      <w:r w:rsidR="00D15F56" w:rsidRPr="00577043">
        <w:rPr>
          <w:lang w:eastAsia="da-DK"/>
        </w:rPr>
        <w:t xml:space="preserve"> </w:t>
      </w:r>
    </w:p>
    <w:p w14:paraId="5281F2BC" w14:textId="77777777" w:rsidR="00A260AB" w:rsidRDefault="00A260AB" w:rsidP="000A6528">
      <w:pPr>
        <w:rPr>
          <w:lang w:eastAsia="da-DK"/>
        </w:rPr>
      </w:pPr>
    </w:p>
    <w:p w14:paraId="5E49F022" w14:textId="77777777" w:rsidR="006A1959" w:rsidRDefault="006A1959" w:rsidP="006A1959">
      <w:pPr>
        <w:rPr>
          <w:lang w:eastAsia="da-DK"/>
        </w:rPr>
      </w:pPr>
      <w:r>
        <w:t>Komitesystemets vurdering af bivirkninger er ifølge lovgivningen og praksis i dag af mere overordnet karakter med fokus på, om der sker en ændring af balancen i forsøget i forhold til risiko/gevinst afvejningen.</w:t>
      </w:r>
    </w:p>
    <w:p w14:paraId="558E4063" w14:textId="77777777" w:rsidR="006A1959" w:rsidRDefault="006A1959" w:rsidP="006A1959"/>
    <w:p w14:paraId="4D48EF5B" w14:textId="77777777" w:rsidR="006A1959" w:rsidRDefault="006A1959" w:rsidP="006A1959">
      <w:r w:rsidRPr="006A1959">
        <w:t xml:space="preserve">Det fremgår af </w:t>
      </w:r>
      <w:r w:rsidR="00915A48">
        <w:t xml:space="preserve">Europa Kommissionens </w:t>
      </w:r>
      <w:r w:rsidRPr="006A1959">
        <w:t xml:space="preserve">“Detailed guidance on collection, verificaton and presentation of adverse event/reaction reports arising from clinical trials on medicinal products for human use (CT3)”, at formålet med </w:t>
      </w:r>
      <w:r w:rsidR="0048491A">
        <w:t>rapportering til en e</w:t>
      </w:r>
      <w:r>
        <w:t xml:space="preserve">tisk komite er at gøre komiteen opmærksom på </w:t>
      </w:r>
      <w:r w:rsidR="00905047" w:rsidRPr="00905047">
        <w:t xml:space="preserve">formodede alvorlige uventede bivirkninger </w:t>
      </w:r>
      <w:r w:rsidR="0048491A">
        <w:t>(</w:t>
      </w:r>
      <w:r w:rsidR="00905047">
        <w:t>”</w:t>
      </w:r>
      <w:r w:rsidR="00905047" w:rsidRPr="00905047">
        <w:t xml:space="preserve">Suspected Unexpected Serious Adverse Reactions” - </w:t>
      </w:r>
      <w:r>
        <w:t>SUSARS</w:t>
      </w:r>
      <w:r w:rsidR="0048491A">
        <w:t>)</w:t>
      </w:r>
      <w:r>
        <w:t>, der er forekommet på dansk territorium. Det forudsættes, at den kompetente myndighed og etisk komite samarbejder tæt i forhold til forsøgspersonernes sikkerhed, hvor dette er nødvendigt</w:t>
      </w:r>
      <w:r w:rsidR="00A07987">
        <w:t>.</w:t>
      </w:r>
      <w:r>
        <w:t xml:space="preserve"> (</w:t>
      </w:r>
      <w:r w:rsidR="00A07987">
        <w:t>P</w:t>
      </w:r>
      <w:r>
        <w:t>kt.</w:t>
      </w:r>
      <w:r w:rsidR="00A07987">
        <w:t xml:space="preserve"> </w:t>
      </w:r>
      <w:r>
        <w:t>83).</w:t>
      </w:r>
    </w:p>
    <w:p w14:paraId="0213444A" w14:textId="77777777" w:rsidR="006A1959" w:rsidRDefault="006A1959" w:rsidP="006A1959"/>
    <w:p w14:paraId="382F7046" w14:textId="77777777" w:rsidR="006A1959" w:rsidRDefault="006A1959" w:rsidP="006A1959">
      <w:r>
        <w:t xml:space="preserve">Den danske komitélovgivning tager udgangspunkt i det forhold, at </w:t>
      </w:r>
      <w:r w:rsidR="00B82B23">
        <w:t>kontrollen</w:t>
      </w:r>
      <w:r>
        <w:t xml:space="preserve"> med lægemiddelforsøgene varetages af </w:t>
      </w:r>
      <w:r w:rsidR="0058651B">
        <w:t>Lægemiddelstyrelsen</w:t>
      </w:r>
      <w:r>
        <w:t xml:space="preserve">, der som fagmyndighed varetager kontrol og inspektion m.v., som kan </w:t>
      </w:r>
      <w:r>
        <w:lastRenderedPageBreak/>
        <w:t xml:space="preserve">være en mulig opfølgning på bivirkningsindberetninger. Komiteernes udgangspunkt er derfor, at komiteen på bivirkningsområdet i høj grad vil forlade sig på fagmyndighedens udspil. Det bemærkes, at den </w:t>
      </w:r>
      <w:r w:rsidR="0048491A">
        <w:t>nugældende</w:t>
      </w:r>
      <w:r>
        <w:t xml:space="preserve"> lovgivning heller ikke giver komiteerne mulighed for at stoppe eller midlertidigt standse et lægemiddelforsøg </w:t>
      </w:r>
    </w:p>
    <w:p w14:paraId="0EF2F96A" w14:textId="77777777" w:rsidR="006A1959" w:rsidRPr="00577043" w:rsidRDefault="006A1959" w:rsidP="000A6528">
      <w:pPr>
        <w:rPr>
          <w:lang w:eastAsia="da-DK"/>
        </w:rPr>
      </w:pPr>
    </w:p>
    <w:p w14:paraId="1A5702AB" w14:textId="77777777" w:rsidR="000D4E36" w:rsidRPr="00577043" w:rsidRDefault="000D4E36" w:rsidP="00251FBA">
      <w:pPr>
        <w:rPr>
          <w:i/>
          <w:lang w:eastAsia="da-DK"/>
        </w:rPr>
      </w:pPr>
      <w:r w:rsidRPr="00577043">
        <w:rPr>
          <w:i/>
          <w:lang w:eastAsia="da-DK"/>
        </w:rPr>
        <w:t>2.3.2. Forslag</w:t>
      </w:r>
    </w:p>
    <w:p w14:paraId="170E2594" w14:textId="77777777" w:rsidR="00643E9D" w:rsidRPr="00577043" w:rsidRDefault="00101487" w:rsidP="00CB2276">
      <w:pPr>
        <w:rPr>
          <w:rFonts w:eastAsia="Times New Roman" w:cs="Times New Roman"/>
          <w:bCs/>
          <w:color w:val="000000"/>
          <w:lang w:eastAsia="da-DK"/>
        </w:rPr>
      </w:pPr>
      <w:r w:rsidRPr="00577043">
        <w:rPr>
          <w:rFonts w:eastAsia="Times New Roman" w:cs="Times New Roman"/>
          <w:bCs/>
          <w:color w:val="000000"/>
          <w:lang w:eastAsia="da-DK"/>
        </w:rPr>
        <w:t>Ifølge forordningen</w:t>
      </w:r>
      <w:r w:rsidR="009C641B" w:rsidRPr="00577043">
        <w:rPr>
          <w:rFonts w:eastAsia="Times New Roman" w:cs="Times New Roman"/>
          <w:bCs/>
          <w:color w:val="000000"/>
          <w:lang w:eastAsia="da-DK"/>
        </w:rPr>
        <w:t>s</w:t>
      </w:r>
      <w:r w:rsidRPr="00577043">
        <w:rPr>
          <w:rFonts w:eastAsia="Times New Roman" w:cs="Times New Roman"/>
          <w:bCs/>
          <w:color w:val="000000"/>
          <w:lang w:eastAsia="da-DK"/>
        </w:rPr>
        <w:t xml:space="preserve"> </w:t>
      </w:r>
      <w:r w:rsidR="00FF06B0" w:rsidRPr="00577043">
        <w:rPr>
          <w:rFonts w:eastAsia="Times New Roman" w:cs="Times New Roman"/>
          <w:bCs/>
          <w:color w:val="000000"/>
          <w:lang w:eastAsia="da-DK"/>
        </w:rPr>
        <w:t>art</w:t>
      </w:r>
      <w:r w:rsidR="00FF06B0">
        <w:rPr>
          <w:rFonts w:eastAsia="Times New Roman" w:cs="Times New Roman"/>
          <w:bCs/>
          <w:color w:val="000000"/>
          <w:lang w:eastAsia="da-DK"/>
        </w:rPr>
        <w:t>ikel</w:t>
      </w:r>
      <w:r w:rsidR="002C27A1" w:rsidRPr="00577043">
        <w:rPr>
          <w:rFonts w:eastAsia="Times New Roman" w:cs="Times New Roman"/>
          <w:bCs/>
          <w:color w:val="000000"/>
          <w:lang w:eastAsia="da-DK"/>
        </w:rPr>
        <w:t xml:space="preserve"> 44 </w:t>
      </w:r>
      <w:r w:rsidRPr="00577043">
        <w:rPr>
          <w:rFonts w:eastAsia="Times New Roman" w:cs="Times New Roman"/>
          <w:bCs/>
          <w:color w:val="000000"/>
          <w:lang w:eastAsia="da-DK"/>
        </w:rPr>
        <w:t xml:space="preserve">fremsender </w:t>
      </w:r>
      <w:r w:rsidR="002C27A1" w:rsidRPr="00577043">
        <w:rPr>
          <w:rFonts w:eastAsia="Times New Roman" w:cs="Times New Roman"/>
          <w:bCs/>
          <w:color w:val="000000"/>
          <w:lang w:eastAsia="da-DK"/>
        </w:rPr>
        <w:t>Det Europæiske Lægemiddelagentur</w:t>
      </w:r>
      <w:r w:rsidR="002E3125" w:rsidRPr="00577043">
        <w:rPr>
          <w:rFonts w:eastAsia="Times New Roman" w:cs="Times New Roman"/>
          <w:bCs/>
          <w:color w:val="000000"/>
          <w:lang w:eastAsia="da-DK"/>
        </w:rPr>
        <w:t xml:space="preserve"> </w:t>
      </w:r>
      <w:r w:rsidRPr="00577043">
        <w:rPr>
          <w:rFonts w:eastAsia="Times New Roman" w:cs="Times New Roman"/>
          <w:bCs/>
          <w:color w:val="000000"/>
          <w:lang w:eastAsia="da-DK"/>
        </w:rPr>
        <w:t>oplysninger om formodede alvorlige uventede bivirkninger</w:t>
      </w:r>
      <w:r w:rsidR="002C27A1" w:rsidRPr="00577043">
        <w:rPr>
          <w:rFonts w:eastAsia="Times New Roman" w:cs="Times New Roman"/>
          <w:bCs/>
          <w:color w:val="000000"/>
          <w:lang w:eastAsia="da-DK"/>
        </w:rPr>
        <w:t xml:space="preserve">, jf. </w:t>
      </w:r>
      <w:r w:rsidR="00FF06B0">
        <w:rPr>
          <w:rFonts w:eastAsia="Times New Roman" w:cs="Times New Roman"/>
          <w:bCs/>
          <w:color w:val="000000"/>
          <w:lang w:eastAsia="da-DK"/>
        </w:rPr>
        <w:t>a</w:t>
      </w:r>
      <w:r w:rsidR="00FF06B0" w:rsidRPr="00577043">
        <w:rPr>
          <w:rFonts w:eastAsia="Times New Roman" w:cs="Times New Roman"/>
          <w:bCs/>
          <w:color w:val="000000"/>
          <w:lang w:eastAsia="da-DK"/>
        </w:rPr>
        <w:t>rt</w:t>
      </w:r>
      <w:r w:rsidR="00FF06B0">
        <w:rPr>
          <w:rFonts w:eastAsia="Times New Roman" w:cs="Times New Roman"/>
          <w:bCs/>
          <w:color w:val="000000"/>
          <w:lang w:eastAsia="da-DK"/>
        </w:rPr>
        <w:t>ikel</w:t>
      </w:r>
      <w:r w:rsidR="002C27A1" w:rsidRPr="00577043">
        <w:rPr>
          <w:rFonts w:eastAsia="Times New Roman" w:cs="Times New Roman"/>
          <w:bCs/>
          <w:color w:val="000000"/>
          <w:lang w:eastAsia="da-DK"/>
        </w:rPr>
        <w:t xml:space="preserve"> 42</w:t>
      </w:r>
      <w:r w:rsidRPr="00577043">
        <w:rPr>
          <w:rFonts w:eastAsia="Times New Roman" w:cs="Times New Roman"/>
          <w:bCs/>
          <w:color w:val="000000"/>
          <w:lang w:eastAsia="da-DK"/>
        </w:rPr>
        <w:t xml:space="preserve"> samt </w:t>
      </w:r>
      <w:r w:rsidR="002C27A1" w:rsidRPr="00577043">
        <w:rPr>
          <w:rFonts w:eastAsia="Times New Roman" w:cs="Times New Roman"/>
          <w:bCs/>
          <w:color w:val="000000"/>
          <w:lang w:eastAsia="da-DK"/>
        </w:rPr>
        <w:t>en</w:t>
      </w:r>
      <w:r w:rsidRPr="00577043">
        <w:rPr>
          <w:rFonts w:eastAsia="Times New Roman" w:cs="Times New Roman"/>
          <w:bCs/>
          <w:color w:val="000000"/>
          <w:lang w:eastAsia="da-DK"/>
        </w:rPr>
        <w:t xml:space="preserve"> årlig rapport om sikkerheden af hvert forsøgslægemiddel, der er indberettet </w:t>
      </w:r>
      <w:r w:rsidR="009A4DE7" w:rsidRPr="00577043">
        <w:rPr>
          <w:rFonts w:eastAsia="Times New Roman" w:cs="Times New Roman"/>
          <w:bCs/>
          <w:color w:val="000000"/>
          <w:lang w:eastAsia="da-DK"/>
        </w:rPr>
        <w:t>af sponsor</w:t>
      </w:r>
      <w:r w:rsidR="009C641B" w:rsidRPr="00577043">
        <w:rPr>
          <w:rFonts w:eastAsia="Times New Roman" w:cs="Times New Roman"/>
          <w:bCs/>
          <w:color w:val="000000"/>
          <w:lang w:eastAsia="da-DK"/>
        </w:rPr>
        <w:t xml:space="preserve">, jf. </w:t>
      </w:r>
      <w:r w:rsidR="00FF06B0" w:rsidRPr="00577043">
        <w:rPr>
          <w:rFonts w:eastAsia="Times New Roman" w:cs="Times New Roman"/>
          <w:bCs/>
          <w:color w:val="000000"/>
          <w:lang w:eastAsia="da-DK"/>
        </w:rPr>
        <w:t>art</w:t>
      </w:r>
      <w:r w:rsidR="00FF06B0">
        <w:rPr>
          <w:rFonts w:eastAsia="Times New Roman" w:cs="Times New Roman"/>
          <w:bCs/>
          <w:color w:val="000000"/>
          <w:lang w:eastAsia="da-DK"/>
        </w:rPr>
        <w:t>ikel</w:t>
      </w:r>
      <w:r w:rsidRPr="00577043">
        <w:rPr>
          <w:rFonts w:eastAsia="Times New Roman" w:cs="Times New Roman"/>
          <w:bCs/>
          <w:color w:val="000000"/>
          <w:lang w:eastAsia="da-DK"/>
        </w:rPr>
        <w:t xml:space="preserve"> 43 </w:t>
      </w:r>
      <w:r w:rsidR="002C27A1" w:rsidRPr="00577043">
        <w:rPr>
          <w:rFonts w:eastAsia="Times New Roman" w:cs="Times New Roman"/>
          <w:bCs/>
          <w:color w:val="000000"/>
          <w:lang w:eastAsia="da-DK"/>
        </w:rPr>
        <w:t>t</w:t>
      </w:r>
      <w:r w:rsidRPr="00577043">
        <w:rPr>
          <w:rFonts w:eastAsia="Times New Roman" w:cs="Times New Roman"/>
          <w:bCs/>
          <w:color w:val="000000"/>
          <w:lang w:eastAsia="da-DK"/>
        </w:rPr>
        <w:t>il de berørte medlemsstater. Medlemsstaterne samarbejder ved vurderingen af de oplysninger, der er indberettet i overensstemmelse med artikel 42 og 43. Kommissionen kan ved hjælp af gennemførelsesretsakter opstille eller ændre reglerne for dette samarbejde. Ifølge artikel 44, stk. 3, skal den ansvarlige etiske komité inddrages i vurderingen af de disse oplysninger, såfremt dette er fastsat i lovgivningen i den berørte medlemsstat.</w:t>
      </w:r>
    </w:p>
    <w:p w14:paraId="14C44EDF" w14:textId="77777777" w:rsidR="008F0CCA" w:rsidRDefault="009C641B" w:rsidP="008F0CCA">
      <w:pPr>
        <w:rPr>
          <w:rFonts w:eastAsia="Times New Roman" w:cs="Times New Roman"/>
          <w:bCs/>
          <w:color w:val="000000"/>
          <w:lang w:eastAsia="da-DK"/>
        </w:rPr>
      </w:pPr>
      <w:r w:rsidRPr="00577043">
        <w:rPr>
          <w:rFonts w:eastAsia="Times New Roman" w:cs="Times New Roman"/>
          <w:bCs/>
          <w:color w:val="000000"/>
          <w:lang w:eastAsia="da-DK"/>
        </w:rPr>
        <w:t xml:space="preserve"> </w:t>
      </w:r>
      <w:r w:rsidR="002C476B" w:rsidRPr="00577043">
        <w:rPr>
          <w:rFonts w:eastAsia="Times New Roman" w:cs="Times New Roman"/>
          <w:bCs/>
          <w:color w:val="000000"/>
          <w:lang w:eastAsia="da-DK"/>
        </w:rPr>
        <w:t xml:space="preserve"> </w:t>
      </w:r>
      <w:r w:rsidR="003D7EFA" w:rsidRPr="00577043">
        <w:rPr>
          <w:rFonts w:eastAsia="Times New Roman" w:cs="Times New Roman"/>
          <w:bCs/>
          <w:color w:val="000000"/>
          <w:lang w:eastAsia="da-DK"/>
        </w:rPr>
        <w:t xml:space="preserve"> </w:t>
      </w:r>
    </w:p>
    <w:p w14:paraId="4A128C04" w14:textId="77777777" w:rsidR="00C61653" w:rsidRDefault="00F80DE6" w:rsidP="008F0CCA">
      <w:pPr>
        <w:rPr>
          <w:rFonts w:eastAsia="Times New Roman" w:cs="Times New Roman"/>
          <w:color w:val="000000"/>
          <w:lang w:eastAsia="da-DK"/>
        </w:rPr>
      </w:pPr>
      <w:r w:rsidRPr="00577043">
        <w:rPr>
          <w:rFonts w:eastAsia="Times New Roman" w:cs="Times New Roman"/>
          <w:bCs/>
          <w:color w:val="000000"/>
          <w:lang w:eastAsia="da-DK"/>
        </w:rPr>
        <w:t>Det foreslås med §</w:t>
      </w:r>
      <w:r w:rsidR="007C1214">
        <w:rPr>
          <w:rFonts w:eastAsia="Times New Roman" w:cs="Times New Roman"/>
          <w:bCs/>
          <w:color w:val="000000"/>
          <w:lang w:eastAsia="da-DK"/>
        </w:rPr>
        <w:t xml:space="preserve"> </w:t>
      </w:r>
      <w:r w:rsidR="00607F99">
        <w:rPr>
          <w:rFonts w:eastAsia="Times New Roman" w:cs="Times New Roman"/>
          <w:bCs/>
          <w:color w:val="000000"/>
          <w:lang w:eastAsia="da-DK"/>
        </w:rPr>
        <w:t>16</w:t>
      </w:r>
      <w:r>
        <w:rPr>
          <w:rFonts w:eastAsia="Times New Roman" w:cs="Times New Roman"/>
          <w:bCs/>
          <w:color w:val="000000"/>
          <w:lang w:eastAsia="da-DK"/>
        </w:rPr>
        <w:t xml:space="preserve">, stk. </w:t>
      </w:r>
      <w:r w:rsidR="007C1214">
        <w:rPr>
          <w:rFonts w:eastAsia="Times New Roman" w:cs="Times New Roman"/>
          <w:bCs/>
          <w:color w:val="000000"/>
          <w:lang w:eastAsia="da-DK"/>
        </w:rPr>
        <w:t>1</w:t>
      </w:r>
      <w:r w:rsidRPr="00577043">
        <w:rPr>
          <w:rFonts w:eastAsia="Times New Roman" w:cs="Times New Roman"/>
          <w:bCs/>
          <w:color w:val="000000"/>
          <w:lang w:eastAsia="da-DK"/>
        </w:rPr>
        <w:t>, at</w:t>
      </w:r>
      <w:r w:rsidR="008F0CCA">
        <w:rPr>
          <w:rFonts w:eastAsia="Times New Roman" w:cs="Times New Roman"/>
          <w:bCs/>
          <w:color w:val="000000"/>
          <w:lang w:eastAsia="da-DK"/>
        </w:rPr>
        <w:t xml:space="preserve"> det er </w:t>
      </w:r>
      <w:r w:rsidR="0058651B">
        <w:rPr>
          <w:rFonts w:eastAsia="Times New Roman" w:cs="Times New Roman"/>
          <w:bCs/>
          <w:color w:val="000000"/>
          <w:lang w:eastAsia="da-DK"/>
        </w:rPr>
        <w:t>Lægemiddelstyrelsen</w:t>
      </w:r>
      <w:r w:rsidR="008F0CCA">
        <w:rPr>
          <w:rFonts w:eastAsia="Times New Roman" w:cs="Times New Roman"/>
          <w:bCs/>
          <w:color w:val="000000"/>
          <w:lang w:eastAsia="da-DK"/>
        </w:rPr>
        <w:t>, som</w:t>
      </w:r>
      <w:r w:rsidR="008F0CCA" w:rsidRPr="00577043">
        <w:rPr>
          <w:rFonts w:eastAsia="Times New Roman" w:cs="Times New Roman"/>
          <w:bCs/>
          <w:color w:val="000000"/>
          <w:lang w:eastAsia="da-DK"/>
        </w:rPr>
        <w:t xml:space="preserve"> vurderer </w:t>
      </w:r>
      <w:r w:rsidR="008F0CCA" w:rsidRPr="00577043">
        <w:rPr>
          <w:rFonts w:eastAsia="Times New Roman" w:cs="Times New Roman"/>
          <w:color w:val="000000"/>
          <w:lang w:eastAsia="da-DK"/>
        </w:rPr>
        <w:t>indberetninger vedrørende alvorlige uventede bivirkninger og sponsors årlige rapport om sikkerhed ved et forsøgslægemiddel, jf. artikel</w:t>
      </w:r>
      <w:r w:rsidR="00C61653">
        <w:rPr>
          <w:rFonts w:eastAsia="Times New Roman" w:cs="Times New Roman"/>
          <w:color w:val="000000"/>
          <w:lang w:eastAsia="da-DK"/>
        </w:rPr>
        <w:t xml:space="preserve"> 42 og 43</w:t>
      </w:r>
      <w:r w:rsidR="008F0CCA" w:rsidRPr="00577043">
        <w:rPr>
          <w:rFonts w:eastAsia="Times New Roman" w:cs="Times New Roman"/>
          <w:color w:val="000000"/>
          <w:lang w:eastAsia="da-DK"/>
        </w:rPr>
        <w:t xml:space="preserve"> i </w:t>
      </w:r>
      <w:r w:rsidR="00294601">
        <w:rPr>
          <w:rFonts w:eastAsia="Times New Roman" w:cs="Times New Roman"/>
          <w:color w:val="000000"/>
          <w:lang w:eastAsia="da-DK"/>
        </w:rPr>
        <w:t>forordningen</w:t>
      </w:r>
      <w:r w:rsidR="008F0CCA" w:rsidRPr="00577043">
        <w:rPr>
          <w:rFonts w:eastAsia="Times New Roman" w:cs="Times New Roman"/>
          <w:color w:val="000000"/>
          <w:lang w:eastAsia="da-DK"/>
        </w:rPr>
        <w:t>.</w:t>
      </w:r>
      <w:r w:rsidR="008F0CCA">
        <w:rPr>
          <w:rFonts w:eastAsia="Times New Roman" w:cs="Times New Roman"/>
          <w:color w:val="000000"/>
          <w:lang w:eastAsia="da-DK"/>
        </w:rPr>
        <w:t xml:space="preserve"> </w:t>
      </w:r>
    </w:p>
    <w:p w14:paraId="44924879" w14:textId="77777777" w:rsidR="00C61653" w:rsidRDefault="00C61653" w:rsidP="008F0CCA">
      <w:pPr>
        <w:rPr>
          <w:rFonts w:eastAsia="Times New Roman" w:cs="Times New Roman"/>
          <w:color w:val="000000"/>
          <w:lang w:eastAsia="da-DK"/>
        </w:rPr>
      </w:pPr>
    </w:p>
    <w:p w14:paraId="3AF32DB0" w14:textId="77777777" w:rsidR="00C61653" w:rsidRDefault="00C61653" w:rsidP="00C61653">
      <w:pPr>
        <w:rPr>
          <w:rFonts w:eastAsia="Times New Roman" w:cs="Times New Roman"/>
          <w:color w:val="000000"/>
          <w:lang w:eastAsia="da-DK"/>
        </w:rPr>
      </w:pPr>
      <w:r>
        <w:rPr>
          <w:rFonts w:eastAsia="Times New Roman" w:cs="Times New Roman"/>
          <w:color w:val="000000"/>
          <w:lang w:eastAsia="da-DK"/>
        </w:rPr>
        <w:t xml:space="preserve">Det foreslås desuden, at </w:t>
      </w:r>
      <w:r w:rsidR="0058651B">
        <w:rPr>
          <w:rFonts w:eastAsia="Times New Roman" w:cs="Times New Roman"/>
          <w:color w:val="000000"/>
          <w:lang w:eastAsia="da-DK"/>
        </w:rPr>
        <w:t>Lægemiddelstyrelsen</w:t>
      </w:r>
      <w:r w:rsidRPr="00577043">
        <w:rPr>
          <w:rFonts w:eastAsia="Times New Roman" w:cs="Times New Roman"/>
          <w:color w:val="000000"/>
          <w:lang w:eastAsia="da-DK"/>
        </w:rPr>
        <w:t xml:space="preserve"> inddrager den videnskabsetiske komité</w:t>
      </w:r>
      <w:r>
        <w:rPr>
          <w:rFonts w:eastAsia="Times New Roman" w:cs="Times New Roman"/>
          <w:color w:val="000000"/>
          <w:lang w:eastAsia="da-DK"/>
        </w:rPr>
        <w:t xml:space="preserve">, hvis </w:t>
      </w:r>
      <w:r w:rsidR="0058651B">
        <w:rPr>
          <w:rFonts w:eastAsia="Times New Roman" w:cs="Times New Roman"/>
          <w:color w:val="000000"/>
          <w:lang w:eastAsia="da-DK"/>
        </w:rPr>
        <w:t>Lægemiddelstyrelsen</w:t>
      </w:r>
      <w:r>
        <w:rPr>
          <w:rFonts w:eastAsia="Times New Roman" w:cs="Times New Roman"/>
          <w:color w:val="000000"/>
          <w:lang w:eastAsia="da-DK"/>
        </w:rPr>
        <w:t xml:space="preserve"> efter en sundhedsfaglig vurdering af indberetningen finder grundlag for at træffe korrigerende foranstaltninger efter forordningens artikel 77. </w:t>
      </w:r>
    </w:p>
    <w:p w14:paraId="1E2C89B6" w14:textId="77777777" w:rsidR="0028130A" w:rsidRDefault="0028130A" w:rsidP="00C61653">
      <w:pPr>
        <w:rPr>
          <w:rFonts w:eastAsia="Times New Roman" w:cs="Times New Roman"/>
          <w:i/>
          <w:color w:val="000000"/>
          <w:lang w:eastAsia="da-DK"/>
        </w:rPr>
      </w:pPr>
    </w:p>
    <w:p w14:paraId="2DABDD9D" w14:textId="77777777" w:rsidR="00C61653" w:rsidRDefault="00C61653" w:rsidP="00C61653">
      <w:r>
        <w:t xml:space="preserve">Komitesystemets vurdering af bivirkninger er ifølge lovgivningen og praksis i dag af mere overordnet karakter, jf. ovenfor. Af hensyn til at sikre en effektiv og kompetent behandling af bivirkningsindberetninger efter artikel 42 og 43foreslås </w:t>
      </w:r>
      <w:r w:rsidR="00915A48">
        <w:t xml:space="preserve">på linje </w:t>
      </w:r>
      <w:r w:rsidR="00032A38">
        <w:t>hermed</w:t>
      </w:r>
      <w:r>
        <w:t xml:space="preserve">, at de </w:t>
      </w:r>
      <w:r w:rsidR="00146E79">
        <w:t>videnskabs</w:t>
      </w:r>
      <w:r>
        <w:t xml:space="preserve">etiske </w:t>
      </w:r>
      <w:r w:rsidR="00146E79">
        <w:t>lægemiddel</w:t>
      </w:r>
      <w:r>
        <w:t xml:space="preserve">komiteer alene involveres i forhold til bivirkningsindberetninger i de tilfælde, hvor </w:t>
      </w:r>
      <w:r w:rsidR="0058651B">
        <w:t>Lægemiddelstyrelsen</w:t>
      </w:r>
      <w:r>
        <w:t xml:space="preserve"> finder, at der er et sundhedsfagligt grundlag for at reagere på indberetningen, og hvor </w:t>
      </w:r>
      <w:r w:rsidR="0058651B">
        <w:t>Lægemiddelstyrelsen</w:t>
      </w:r>
      <w:r>
        <w:t xml:space="preserve"> (også via samarbejdet </w:t>
      </w:r>
      <w:r w:rsidR="007B2B90">
        <w:t>med andre berørte medlemsstater</w:t>
      </w:r>
      <w:r>
        <w:t>) overvejer at iværksætte korrigerende foranstaltninger efter</w:t>
      </w:r>
      <w:r w:rsidR="00FF06B0">
        <w:rPr>
          <w:rFonts w:eastAsia="Times New Roman" w:cs="Times New Roman"/>
          <w:bCs/>
          <w:color w:val="000000"/>
          <w:lang w:eastAsia="da-DK"/>
        </w:rPr>
        <w:t xml:space="preserve"> </w:t>
      </w:r>
      <w:r w:rsidR="00FF06B0" w:rsidRPr="00577043">
        <w:rPr>
          <w:rFonts w:eastAsia="Times New Roman" w:cs="Times New Roman"/>
          <w:bCs/>
          <w:color w:val="000000"/>
          <w:lang w:eastAsia="da-DK"/>
        </w:rPr>
        <w:t>art</w:t>
      </w:r>
      <w:r w:rsidR="00FF06B0">
        <w:rPr>
          <w:rFonts w:eastAsia="Times New Roman" w:cs="Times New Roman"/>
          <w:bCs/>
          <w:color w:val="000000"/>
          <w:lang w:eastAsia="da-DK"/>
        </w:rPr>
        <w:t>ikel</w:t>
      </w:r>
      <w:r>
        <w:t xml:space="preserve"> 77. </w:t>
      </w:r>
    </w:p>
    <w:p w14:paraId="3561A95A" w14:textId="77777777" w:rsidR="00C61653" w:rsidRDefault="00C61653" w:rsidP="00C61653"/>
    <w:p w14:paraId="7EAAA8F3" w14:textId="77777777" w:rsidR="00C61653" w:rsidRDefault="00C61653" w:rsidP="00C61653">
      <w:r>
        <w:t xml:space="preserve">Denne mulighed vurderes at være i overensstemmelse med forordningens </w:t>
      </w:r>
      <w:r w:rsidR="00FF06B0" w:rsidRPr="00577043">
        <w:rPr>
          <w:rFonts w:eastAsia="Times New Roman" w:cs="Times New Roman"/>
          <w:bCs/>
          <w:color w:val="000000"/>
          <w:lang w:eastAsia="da-DK"/>
        </w:rPr>
        <w:t>art</w:t>
      </w:r>
      <w:r w:rsidR="00FF06B0">
        <w:rPr>
          <w:rFonts w:eastAsia="Times New Roman" w:cs="Times New Roman"/>
          <w:bCs/>
          <w:color w:val="000000"/>
          <w:lang w:eastAsia="da-DK"/>
        </w:rPr>
        <w:t>ikel</w:t>
      </w:r>
      <w:r>
        <w:t xml:space="preserve"> 44, stk. 3, hvorefter medlemsstaterne kan fastsætte bestemmelser om, og i hvilket omfang, den ansvarlige etiske komite skal inddrages i vurdering af bivirkninger indberettet efter artikel 42 og 43.</w:t>
      </w:r>
    </w:p>
    <w:p w14:paraId="74206883" w14:textId="77777777" w:rsidR="00C61653" w:rsidRDefault="00C61653" w:rsidP="00C61653"/>
    <w:p w14:paraId="1A565BB5" w14:textId="77777777" w:rsidR="00C61653" w:rsidRDefault="00C61653" w:rsidP="00C61653">
      <w:r>
        <w:t>Ved forslaget sikres, at komiteerne inddrages i de tilfælde, hvor der kan være behov for at træffe korrigerende foranstaltninger, jf. artikel 77, hvilket sikrer etisk involvering i forhold til bivirkninger, der anses for væsentlige ud fra en sundhedsfaglig vurdering, og som har betydning for forsøgspersonernes sikkerhed.</w:t>
      </w:r>
    </w:p>
    <w:p w14:paraId="7E08FACD" w14:textId="77777777" w:rsidR="00C61653" w:rsidRDefault="00C61653" w:rsidP="00C61653">
      <w:pPr>
        <w:rPr>
          <w:rFonts w:eastAsia="Times New Roman" w:cs="Times New Roman"/>
          <w:bCs/>
          <w:color w:val="000000"/>
          <w:lang w:eastAsia="da-DK"/>
        </w:rPr>
      </w:pPr>
    </w:p>
    <w:p w14:paraId="398A98B0" w14:textId="77777777" w:rsidR="00C61653" w:rsidRDefault="00C61653" w:rsidP="00C61653">
      <w:r>
        <w:t xml:space="preserve">Det foreslås samtidig, at de </w:t>
      </w:r>
      <w:r w:rsidR="00146E79">
        <w:t>videnskab</w:t>
      </w:r>
      <w:r w:rsidR="00C23AA0">
        <w:t>s</w:t>
      </w:r>
      <w:r>
        <w:t xml:space="preserve">etiske komiteer selvstændigt får kompetence til sideløbende med </w:t>
      </w:r>
      <w:r w:rsidR="00B06887">
        <w:t>Lægemiddel</w:t>
      </w:r>
      <w:r>
        <w:t>styrelse</w:t>
      </w:r>
      <w:r w:rsidR="00B06887">
        <w:t>n</w:t>
      </w:r>
      <w:r>
        <w:t xml:space="preserve"> at vurdere de indberetninger, der foretages efter forordningens art</w:t>
      </w:r>
      <w:r w:rsidR="00FF06B0">
        <w:t>ikel</w:t>
      </w:r>
      <w:r>
        <w:t xml:space="preserve"> 52-54 (alvorlige overtrædelser, uventede hændelser og nødsikkerhedsforanstaltninger). Det vurderes relevant, at de </w:t>
      </w:r>
      <w:r w:rsidR="00146E79">
        <w:t>videnskabs</w:t>
      </w:r>
      <w:r>
        <w:t xml:space="preserve">etiske </w:t>
      </w:r>
      <w:r w:rsidR="00146E79">
        <w:t>lægemiddel</w:t>
      </w:r>
      <w:r>
        <w:t>komiteer tidligt bliver opmærksom på disse hændelser, da indberetningerne kan relatere sig til de forhold</w:t>
      </w:r>
      <w:r w:rsidR="0028130A">
        <w:t>, som</w:t>
      </w:r>
      <w:r>
        <w:t xml:space="preserve"> komiteerne har vurderet i medfør </w:t>
      </w:r>
      <w:r w:rsidR="007B2B90">
        <w:t>vurderingsrapportens del</w:t>
      </w:r>
      <w:r>
        <w:t xml:space="preserve"> II, jf. artikel. 7, fx investigators kvalifikationer, erstatningsmæssige forhold, m</w:t>
      </w:r>
      <w:r w:rsidR="00094421">
        <w:t>.</w:t>
      </w:r>
      <w:r>
        <w:t xml:space="preserve">v. Såfremt komiteen finder, at der på baggrund af indberetninger efter </w:t>
      </w:r>
      <w:r w:rsidR="00FF06B0" w:rsidRPr="00577043">
        <w:rPr>
          <w:rFonts w:eastAsia="Times New Roman" w:cs="Times New Roman"/>
          <w:bCs/>
          <w:color w:val="000000"/>
          <w:lang w:eastAsia="da-DK"/>
        </w:rPr>
        <w:t>art</w:t>
      </w:r>
      <w:r w:rsidR="00FF06B0">
        <w:rPr>
          <w:rFonts w:eastAsia="Times New Roman" w:cs="Times New Roman"/>
          <w:bCs/>
          <w:color w:val="000000"/>
          <w:lang w:eastAsia="da-DK"/>
        </w:rPr>
        <w:t>ikel</w:t>
      </w:r>
      <w:r>
        <w:t xml:space="preserve"> 52- 54 kan være grundlag for at overveje en korrigerende foranstaltning, jf.</w:t>
      </w:r>
      <w:r w:rsidR="00FF06B0" w:rsidRPr="00FF06B0">
        <w:rPr>
          <w:rFonts w:eastAsia="Times New Roman" w:cs="Times New Roman"/>
          <w:bCs/>
          <w:color w:val="000000"/>
          <w:lang w:eastAsia="da-DK"/>
        </w:rPr>
        <w:t xml:space="preserve"> </w:t>
      </w:r>
      <w:r w:rsidR="00FF06B0" w:rsidRPr="00577043">
        <w:rPr>
          <w:rFonts w:eastAsia="Times New Roman" w:cs="Times New Roman"/>
          <w:bCs/>
          <w:color w:val="000000"/>
          <w:lang w:eastAsia="da-DK"/>
        </w:rPr>
        <w:t>art</w:t>
      </w:r>
      <w:r w:rsidR="00FF06B0">
        <w:rPr>
          <w:rFonts w:eastAsia="Times New Roman" w:cs="Times New Roman"/>
          <w:bCs/>
          <w:color w:val="000000"/>
          <w:lang w:eastAsia="da-DK"/>
        </w:rPr>
        <w:t>ikel</w:t>
      </w:r>
      <w:r>
        <w:t xml:space="preserve"> 77, tager komiteen kontakt til </w:t>
      </w:r>
      <w:r w:rsidR="0058651B">
        <w:t>Lægemiddelstyrelsen</w:t>
      </w:r>
      <w:r>
        <w:t>, jf. lovforslagets §</w:t>
      </w:r>
      <w:r w:rsidR="0028614F">
        <w:t>12</w:t>
      </w:r>
      <w:r>
        <w:t xml:space="preserve"> .</w:t>
      </w:r>
    </w:p>
    <w:p w14:paraId="1510687D" w14:textId="77777777" w:rsidR="009C641B" w:rsidRPr="00577043" w:rsidRDefault="009C641B" w:rsidP="00CB2276">
      <w:pPr>
        <w:rPr>
          <w:rFonts w:eastAsia="Times New Roman" w:cs="Times New Roman"/>
          <w:bCs/>
          <w:color w:val="000000"/>
          <w:lang w:eastAsia="da-DK"/>
        </w:rPr>
      </w:pPr>
    </w:p>
    <w:p w14:paraId="31854101" w14:textId="77777777" w:rsidR="00E7242E" w:rsidRPr="00577043" w:rsidRDefault="0058651B" w:rsidP="00CB2276">
      <w:pPr>
        <w:rPr>
          <w:rFonts w:eastAsia="Times New Roman" w:cs="Times New Roman"/>
          <w:color w:val="000000"/>
          <w:lang w:eastAsia="da-DK"/>
        </w:rPr>
      </w:pPr>
      <w:r>
        <w:rPr>
          <w:rFonts w:eastAsia="Times New Roman" w:cs="Times New Roman"/>
          <w:bCs/>
          <w:color w:val="000000"/>
          <w:lang w:eastAsia="da-DK"/>
        </w:rPr>
        <w:t>Lægemiddelstyrelsen</w:t>
      </w:r>
      <w:r w:rsidR="00921C73">
        <w:rPr>
          <w:rFonts w:eastAsia="Times New Roman" w:cs="Times New Roman"/>
          <w:bCs/>
          <w:color w:val="000000"/>
          <w:lang w:eastAsia="da-DK"/>
        </w:rPr>
        <w:t xml:space="preserve"> </w:t>
      </w:r>
      <w:r w:rsidR="00921C73" w:rsidRPr="00577043">
        <w:rPr>
          <w:rFonts w:eastAsia="Times New Roman" w:cs="Times New Roman"/>
          <w:bCs/>
          <w:color w:val="000000"/>
          <w:lang w:eastAsia="da-DK"/>
        </w:rPr>
        <w:t>udfører inspektioner</w:t>
      </w:r>
      <w:r w:rsidR="0012722F">
        <w:rPr>
          <w:rFonts w:eastAsia="Times New Roman" w:cs="Times New Roman"/>
          <w:bCs/>
          <w:color w:val="000000"/>
          <w:lang w:eastAsia="da-DK"/>
        </w:rPr>
        <w:t xml:space="preserve"> af forsøgssteder</w:t>
      </w:r>
      <w:r w:rsidR="00921C73" w:rsidRPr="00577043">
        <w:rPr>
          <w:rFonts w:eastAsia="Times New Roman" w:cs="Times New Roman"/>
          <w:bCs/>
          <w:color w:val="000000"/>
          <w:lang w:eastAsia="da-DK"/>
        </w:rPr>
        <w:t xml:space="preserve"> i overensstemmelse med forordningens </w:t>
      </w:r>
      <w:r w:rsidR="00FF06B0" w:rsidRPr="00577043">
        <w:rPr>
          <w:rFonts w:eastAsia="Times New Roman" w:cs="Times New Roman"/>
          <w:bCs/>
          <w:color w:val="000000"/>
          <w:lang w:eastAsia="da-DK"/>
        </w:rPr>
        <w:t>art</w:t>
      </w:r>
      <w:r w:rsidR="00FF06B0">
        <w:rPr>
          <w:rFonts w:eastAsia="Times New Roman" w:cs="Times New Roman"/>
          <w:bCs/>
          <w:color w:val="000000"/>
          <w:lang w:eastAsia="da-DK"/>
        </w:rPr>
        <w:t>ikel</w:t>
      </w:r>
      <w:r w:rsidR="00921C73" w:rsidRPr="00577043">
        <w:rPr>
          <w:rFonts w:eastAsia="Times New Roman" w:cs="Times New Roman"/>
          <w:bCs/>
          <w:color w:val="000000"/>
          <w:lang w:eastAsia="da-DK"/>
        </w:rPr>
        <w:t xml:space="preserve"> 78, </w:t>
      </w:r>
      <w:r w:rsidR="00921C73" w:rsidRPr="00577043">
        <w:rPr>
          <w:rFonts w:eastAsia="Times New Roman" w:cs="Times New Roman"/>
          <w:color w:val="000000"/>
          <w:lang w:eastAsia="da-DK"/>
        </w:rPr>
        <w:t xml:space="preserve">men </w:t>
      </w:r>
      <w:r>
        <w:rPr>
          <w:rFonts w:eastAsia="Times New Roman" w:cs="Times New Roman"/>
          <w:color w:val="000000"/>
          <w:lang w:eastAsia="da-DK"/>
        </w:rPr>
        <w:t>Lægemiddelstyrelsen</w:t>
      </w:r>
      <w:r w:rsidR="00921C73" w:rsidRPr="00577043">
        <w:rPr>
          <w:rFonts w:eastAsia="Times New Roman" w:cs="Times New Roman"/>
          <w:color w:val="000000"/>
          <w:lang w:eastAsia="da-DK"/>
        </w:rPr>
        <w:t xml:space="preserve"> </w:t>
      </w:r>
      <w:r w:rsidR="0051726F">
        <w:rPr>
          <w:rFonts w:eastAsia="Times New Roman" w:cs="Times New Roman"/>
          <w:color w:val="000000"/>
          <w:lang w:eastAsia="da-DK"/>
        </w:rPr>
        <w:t xml:space="preserve">kan </w:t>
      </w:r>
      <w:r w:rsidR="00921C73" w:rsidRPr="00577043">
        <w:rPr>
          <w:rFonts w:eastAsia="Times New Roman" w:cs="Times New Roman"/>
          <w:color w:val="000000"/>
          <w:lang w:eastAsia="da-DK"/>
        </w:rPr>
        <w:t>inddrage den videnskabsetiske komité i kontrollen, i det omfang kontrollen berører videnskabsetiske aspekter</w:t>
      </w:r>
      <w:r w:rsidR="00921C73">
        <w:rPr>
          <w:rFonts w:eastAsia="Times New Roman" w:cs="Times New Roman"/>
          <w:color w:val="000000"/>
          <w:lang w:eastAsia="da-DK"/>
        </w:rPr>
        <w:t>,</w:t>
      </w:r>
      <w:r w:rsidR="007C1214">
        <w:rPr>
          <w:rFonts w:eastAsia="Times New Roman" w:cs="Times New Roman"/>
          <w:color w:val="000000"/>
          <w:lang w:eastAsia="da-DK"/>
        </w:rPr>
        <w:t xml:space="preserve"> jf. </w:t>
      </w:r>
      <w:r w:rsidR="007B2B90">
        <w:rPr>
          <w:rFonts w:eastAsia="Times New Roman" w:cs="Times New Roman"/>
          <w:color w:val="000000"/>
          <w:lang w:eastAsia="da-DK"/>
        </w:rPr>
        <w:t>nedenfor</w:t>
      </w:r>
      <w:r w:rsidR="00921C73" w:rsidRPr="00577043">
        <w:rPr>
          <w:rFonts w:eastAsia="Times New Roman" w:cs="Times New Roman"/>
          <w:color w:val="000000"/>
          <w:lang w:eastAsia="da-DK"/>
        </w:rPr>
        <w:t xml:space="preserve">. </w:t>
      </w:r>
    </w:p>
    <w:p w14:paraId="601B82AD" w14:textId="77777777" w:rsidR="007B2B90" w:rsidRDefault="007B2B90" w:rsidP="00CB2276">
      <w:pPr>
        <w:rPr>
          <w:rFonts w:eastAsia="Times New Roman" w:cs="Times New Roman"/>
          <w:color w:val="000000"/>
          <w:lang w:eastAsia="da-DK"/>
        </w:rPr>
      </w:pPr>
    </w:p>
    <w:p w14:paraId="1A711359" w14:textId="77777777" w:rsidR="00E7242E" w:rsidRPr="00577043" w:rsidRDefault="00B82B23" w:rsidP="00CB2276">
      <w:pPr>
        <w:rPr>
          <w:rFonts w:eastAsia="Times New Roman" w:cs="Times New Roman"/>
          <w:bCs/>
          <w:color w:val="000000"/>
          <w:lang w:eastAsia="da-DK"/>
        </w:rPr>
      </w:pPr>
      <w:r>
        <w:rPr>
          <w:rFonts w:eastAsia="Times New Roman" w:cs="Times New Roman"/>
          <w:color w:val="000000"/>
          <w:lang w:eastAsia="da-DK"/>
        </w:rPr>
        <w:t>Kontrollen</w:t>
      </w:r>
      <w:r w:rsidR="00E7242E" w:rsidRPr="00577043">
        <w:rPr>
          <w:rFonts w:eastAsia="Times New Roman" w:cs="Times New Roman"/>
          <w:color w:val="000000"/>
          <w:lang w:eastAsia="da-DK"/>
        </w:rPr>
        <w:t xml:space="preserve"> med kliniske forsøg med læge</w:t>
      </w:r>
      <w:r w:rsidR="007C1214">
        <w:rPr>
          <w:rFonts w:eastAsia="Times New Roman" w:cs="Times New Roman"/>
          <w:color w:val="000000"/>
          <w:lang w:eastAsia="da-DK"/>
        </w:rPr>
        <w:t>midler varetages således af</w:t>
      </w:r>
      <w:r w:rsidR="00E7242E" w:rsidRPr="00577043">
        <w:rPr>
          <w:rFonts w:eastAsia="Times New Roman" w:cs="Times New Roman"/>
          <w:color w:val="000000"/>
          <w:lang w:eastAsia="da-DK"/>
        </w:rPr>
        <w:t xml:space="preserve"> </w:t>
      </w:r>
      <w:r w:rsidR="0058651B">
        <w:rPr>
          <w:rFonts w:eastAsia="Times New Roman" w:cs="Times New Roman"/>
          <w:color w:val="000000"/>
          <w:lang w:eastAsia="da-DK"/>
        </w:rPr>
        <w:t>Lægemiddelstyrelsen</w:t>
      </w:r>
      <w:r w:rsidR="00E7242E" w:rsidRPr="00577043">
        <w:rPr>
          <w:rFonts w:eastAsia="Times New Roman" w:cs="Times New Roman"/>
          <w:color w:val="000000"/>
          <w:lang w:eastAsia="da-DK"/>
        </w:rPr>
        <w:t xml:space="preserve"> </w:t>
      </w:r>
      <w:r w:rsidR="007C1214">
        <w:rPr>
          <w:rFonts w:eastAsia="Times New Roman" w:cs="Times New Roman"/>
          <w:color w:val="000000"/>
          <w:lang w:eastAsia="da-DK"/>
        </w:rPr>
        <w:t>i samarbejde med</w:t>
      </w:r>
      <w:r w:rsidR="00E7242E" w:rsidRPr="00577043">
        <w:rPr>
          <w:rFonts w:eastAsia="Times New Roman" w:cs="Times New Roman"/>
          <w:color w:val="000000"/>
          <w:lang w:eastAsia="da-DK"/>
        </w:rPr>
        <w:t xml:space="preserve"> de videnskabsetiske lægemiddelkomiteer. Det er i medfør af den foreslåede § </w:t>
      </w:r>
      <w:r w:rsidR="0028614F">
        <w:rPr>
          <w:rFonts w:eastAsia="Times New Roman" w:cs="Times New Roman"/>
          <w:color w:val="000000"/>
          <w:lang w:eastAsia="da-DK"/>
        </w:rPr>
        <w:t>12</w:t>
      </w:r>
      <w:r w:rsidR="00E7242E" w:rsidRPr="00577043">
        <w:rPr>
          <w:rFonts w:eastAsia="Times New Roman" w:cs="Times New Roman"/>
          <w:color w:val="000000"/>
          <w:lang w:eastAsia="da-DK"/>
        </w:rPr>
        <w:t xml:space="preserve">, </w:t>
      </w:r>
      <w:r w:rsidR="0058651B">
        <w:rPr>
          <w:rFonts w:eastAsia="Times New Roman" w:cs="Times New Roman"/>
          <w:color w:val="000000"/>
          <w:lang w:eastAsia="da-DK"/>
        </w:rPr>
        <w:t>Lægemiddelstyrelsen</w:t>
      </w:r>
      <w:r w:rsidR="00E7242E" w:rsidRPr="00577043">
        <w:rPr>
          <w:rFonts w:eastAsia="Times New Roman" w:cs="Times New Roman"/>
          <w:color w:val="000000"/>
          <w:lang w:eastAsia="da-DK"/>
        </w:rPr>
        <w:t xml:space="preserve">, som </w:t>
      </w:r>
      <w:r w:rsidR="00E7242E" w:rsidRPr="00577043">
        <w:rPr>
          <w:rFonts w:eastAsia="Times New Roman" w:cs="Times New Roman"/>
          <w:color w:val="000000"/>
          <w:lang w:eastAsia="da-DK"/>
        </w:rPr>
        <w:lastRenderedPageBreak/>
        <w:t xml:space="preserve">afgør, om godkendelsen af et klinisk forsøg skal tilbagekaldes, om det skal suspenderes eller om sponsor skal ændre et aspekt af et forsøg.  Men </w:t>
      </w:r>
      <w:r w:rsidR="0058651B">
        <w:rPr>
          <w:rFonts w:eastAsia="Times New Roman" w:cs="Times New Roman"/>
          <w:color w:val="000000"/>
          <w:lang w:eastAsia="da-DK"/>
        </w:rPr>
        <w:t>Lægemiddelstyrelsen</w:t>
      </w:r>
      <w:r w:rsidR="00E7242E" w:rsidRPr="00577043">
        <w:rPr>
          <w:rFonts w:eastAsia="Times New Roman" w:cs="Times New Roman"/>
          <w:color w:val="000000"/>
          <w:lang w:eastAsia="da-DK"/>
        </w:rPr>
        <w:t xml:space="preserve"> </w:t>
      </w:r>
      <w:r w:rsidR="0083137D">
        <w:rPr>
          <w:rFonts w:eastAsia="Times New Roman" w:cs="Times New Roman"/>
          <w:color w:val="000000"/>
          <w:lang w:eastAsia="da-DK"/>
        </w:rPr>
        <w:t xml:space="preserve">kan </w:t>
      </w:r>
      <w:r w:rsidR="00E7242E" w:rsidRPr="00577043">
        <w:rPr>
          <w:rFonts w:eastAsia="Times New Roman" w:cs="Times New Roman"/>
          <w:color w:val="000000"/>
          <w:lang w:eastAsia="da-DK"/>
        </w:rPr>
        <w:t xml:space="preserve">inddrage den videnskabsetiske komité i vurderingen af grundlaget for afgørelsen. Den videnskabsetiske komité inddrages, hvis </w:t>
      </w:r>
      <w:r w:rsidR="0058651B">
        <w:rPr>
          <w:rFonts w:eastAsia="Times New Roman" w:cs="Times New Roman"/>
          <w:color w:val="000000"/>
          <w:lang w:eastAsia="da-DK"/>
        </w:rPr>
        <w:t>Lægemiddelstyrelsen</w:t>
      </w:r>
      <w:r w:rsidR="00E7242E" w:rsidRPr="00577043">
        <w:rPr>
          <w:rFonts w:eastAsia="Times New Roman" w:cs="Times New Roman"/>
          <w:color w:val="000000"/>
          <w:lang w:eastAsia="da-DK"/>
        </w:rPr>
        <w:t xml:space="preserve"> eller komiteen finder det er påkrævet. </w:t>
      </w:r>
    </w:p>
    <w:p w14:paraId="7EFFF167" w14:textId="77777777" w:rsidR="00FC464D" w:rsidRPr="00577043" w:rsidRDefault="00FC464D" w:rsidP="00CB2276">
      <w:pPr>
        <w:rPr>
          <w:rFonts w:eastAsia="Times New Roman" w:cs="Times New Roman"/>
          <w:bCs/>
          <w:color w:val="000000"/>
          <w:lang w:eastAsia="da-DK"/>
        </w:rPr>
      </w:pPr>
    </w:p>
    <w:p w14:paraId="3BDD05D6" w14:textId="77777777" w:rsidR="00487280" w:rsidRDefault="00487280" w:rsidP="00CB2276">
      <w:pPr>
        <w:rPr>
          <w:rFonts w:eastAsia="Times New Roman" w:cs="Times New Roman"/>
          <w:bCs/>
          <w:color w:val="000000"/>
          <w:lang w:eastAsia="da-DK"/>
        </w:rPr>
      </w:pPr>
    </w:p>
    <w:p w14:paraId="2935C1AE" w14:textId="77777777" w:rsidR="0087178E" w:rsidRDefault="0087178E" w:rsidP="0087178E">
      <w:pPr>
        <w:pStyle w:val="Overskrift5"/>
        <w:rPr>
          <w:rFonts w:eastAsia="Times New Roman"/>
          <w:lang w:eastAsia="da-DK"/>
        </w:rPr>
      </w:pPr>
      <w:r>
        <w:rPr>
          <w:rFonts w:eastAsia="Times New Roman"/>
          <w:lang w:eastAsia="da-DK"/>
        </w:rPr>
        <w:t>2.</w:t>
      </w:r>
      <w:r w:rsidR="00B15DD5">
        <w:rPr>
          <w:rFonts w:eastAsia="Times New Roman"/>
          <w:lang w:eastAsia="da-DK"/>
        </w:rPr>
        <w:t>4</w:t>
      </w:r>
      <w:r>
        <w:rPr>
          <w:rFonts w:eastAsia="Times New Roman"/>
          <w:lang w:eastAsia="da-DK"/>
        </w:rPr>
        <w:t>. Lægemiddelstyrelsens og komiteernes inspektioner af forsøgssteder</w:t>
      </w:r>
    </w:p>
    <w:p w14:paraId="0E53E903" w14:textId="77777777" w:rsidR="0087178E" w:rsidRDefault="0087178E" w:rsidP="0087178E">
      <w:pPr>
        <w:rPr>
          <w:i/>
          <w:lang w:eastAsia="da-DK"/>
        </w:rPr>
      </w:pPr>
    </w:p>
    <w:p w14:paraId="441EBF6D" w14:textId="77777777" w:rsidR="0087178E" w:rsidRPr="0087178E" w:rsidRDefault="00B15DD5" w:rsidP="0087178E">
      <w:pPr>
        <w:rPr>
          <w:i/>
          <w:lang w:eastAsia="da-DK"/>
        </w:rPr>
      </w:pPr>
      <w:r>
        <w:rPr>
          <w:i/>
          <w:lang w:eastAsia="da-DK"/>
        </w:rPr>
        <w:t xml:space="preserve">2.4.1. </w:t>
      </w:r>
      <w:r w:rsidR="0087178E">
        <w:rPr>
          <w:i/>
          <w:lang w:eastAsia="da-DK"/>
        </w:rPr>
        <w:t>Gældende ret</w:t>
      </w:r>
    </w:p>
    <w:p w14:paraId="6AA2A04C" w14:textId="77777777" w:rsidR="0087178E" w:rsidRDefault="0087178E" w:rsidP="0087178E">
      <w:pPr>
        <w:rPr>
          <w:lang w:eastAsia="da-DK"/>
        </w:rPr>
      </w:pPr>
      <w:r>
        <w:rPr>
          <w:lang w:eastAsia="da-DK"/>
        </w:rPr>
        <w:t>Ifølge lægemiddellovens § 90, stk. 2, kan Lægemiddel</w:t>
      </w:r>
      <w:r w:rsidRPr="008F53A8">
        <w:rPr>
          <w:lang w:eastAsia="da-DK"/>
        </w:rPr>
        <w:t xml:space="preserve">styrelsen inden, under og efter gennemførelsen af et klinisk forsøg med lægemidler, </w:t>
      </w:r>
      <w:r>
        <w:rPr>
          <w:lang w:eastAsia="da-DK"/>
        </w:rPr>
        <w:t>kontrollere</w:t>
      </w:r>
      <w:r w:rsidRPr="008F53A8">
        <w:rPr>
          <w:lang w:eastAsia="da-DK"/>
        </w:rPr>
        <w:t xml:space="preserve"> en virksomhed m.v., der udfører eller har udført et klinisk forsøg. </w:t>
      </w:r>
      <w:r>
        <w:rPr>
          <w:lang w:eastAsia="da-DK"/>
        </w:rPr>
        <w:t>Lægemiddel</w:t>
      </w:r>
      <w:r w:rsidRPr="008F53A8">
        <w:rPr>
          <w:lang w:eastAsia="da-DK"/>
        </w:rPr>
        <w:t xml:space="preserve">styrelsen kan </w:t>
      </w:r>
      <w:r>
        <w:rPr>
          <w:lang w:eastAsia="da-DK"/>
        </w:rPr>
        <w:t xml:space="preserve">desuden </w:t>
      </w:r>
      <w:r w:rsidRPr="008F53A8">
        <w:rPr>
          <w:lang w:eastAsia="da-DK"/>
        </w:rPr>
        <w:t>på baggrund af en anmodning fra en kompetent myndighed i et andet EU/EØS-land kontrollere en virksomhed m.v., der udfører eller har udført et klinisk forsøg med lægemidler</w:t>
      </w:r>
      <w:r>
        <w:rPr>
          <w:lang w:eastAsia="da-DK"/>
        </w:rPr>
        <w:t>, jf. § 90, stk. 3</w:t>
      </w:r>
      <w:r w:rsidRPr="008F53A8">
        <w:rPr>
          <w:lang w:eastAsia="da-DK"/>
        </w:rPr>
        <w:t xml:space="preserve">. </w:t>
      </w:r>
    </w:p>
    <w:p w14:paraId="7BEC6C6E" w14:textId="77777777" w:rsidR="0087178E" w:rsidRDefault="0087178E" w:rsidP="0087178E">
      <w:pPr>
        <w:rPr>
          <w:rFonts w:eastAsia="Times New Roman" w:cs="Times New Roman"/>
          <w:color w:val="000000"/>
          <w:lang w:eastAsia="da-DK"/>
        </w:rPr>
      </w:pPr>
    </w:p>
    <w:p w14:paraId="3808BC96" w14:textId="77777777" w:rsidR="0087178E" w:rsidRPr="0087178E" w:rsidRDefault="00B15DD5" w:rsidP="0087178E">
      <w:pPr>
        <w:rPr>
          <w:rFonts w:eastAsia="Times New Roman" w:cs="Times New Roman"/>
          <w:i/>
          <w:color w:val="000000"/>
          <w:lang w:eastAsia="da-DK"/>
        </w:rPr>
      </w:pPr>
      <w:r>
        <w:rPr>
          <w:rFonts w:eastAsia="Times New Roman" w:cs="Times New Roman"/>
          <w:i/>
          <w:color w:val="000000"/>
          <w:lang w:eastAsia="da-DK"/>
        </w:rPr>
        <w:t>2.4.</w:t>
      </w:r>
      <w:r w:rsidR="008B366A">
        <w:rPr>
          <w:rFonts w:eastAsia="Times New Roman" w:cs="Times New Roman"/>
          <w:i/>
          <w:color w:val="000000"/>
          <w:lang w:eastAsia="da-DK"/>
        </w:rPr>
        <w:t>2</w:t>
      </w:r>
      <w:r>
        <w:rPr>
          <w:rFonts w:eastAsia="Times New Roman" w:cs="Times New Roman"/>
          <w:i/>
          <w:color w:val="000000"/>
          <w:lang w:eastAsia="da-DK"/>
        </w:rPr>
        <w:t xml:space="preserve">. </w:t>
      </w:r>
      <w:r w:rsidR="0087178E">
        <w:rPr>
          <w:rFonts w:eastAsia="Times New Roman" w:cs="Times New Roman"/>
          <w:i/>
          <w:color w:val="000000"/>
          <w:lang w:eastAsia="da-DK"/>
        </w:rPr>
        <w:t>Forslag</w:t>
      </w:r>
    </w:p>
    <w:p w14:paraId="42378D73" w14:textId="77777777" w:rsidR="008C02E1" w:rsidRDefault="008C02E1" w:rsidP="0087178E">
      <w:pPr>
        <w:rPr>
          <w:rFonts w:eastAsia="Times New Roman" w:cs="Times New Roman"/>
          <w:iCs/>
          <w:color w:val="000000"/>
          <w:lang w:eastAsia="da-DK"/>
        </w:rPr>
      </w:pPr>
      <w:r>
        <w:rPr>
          <w:rFonts w:eastAsia="Times New Roman" w:cs="Times New Roman"/>
          <w:iCs/>
          <w:color w:val="000000"/>
          <w:lang w:eastAsia="da-DK"/>
        </w:rPr>
        <w:t>Myndighedernes adgang til at inspicere forsøgssteder og adgang til forsøgsdata er ikke reguleret i forordningen og skal derfor reguleres i national ret.</w:t>
      </w:r>
    </w:p>
    <w:p w14:paraId="683A4F24" w14:textId="77777777" w:rsidR="008C02E1" w:rsidRDefault="008C02E1" w:rsidP="0087178E">
      <w:pPr>
        <w:rPr>
          <w:rFonts w:eastAsia="Times New Roman" w:cs="Times New Roman"/>
          <w:iCs/>
          <w:color w:val="000000"/>
          <w:lang w:eastAsia="da-DK"/>
        </w:rPr>
      </w:pPr>
    </w:p>
    <w:p w14:paraId="1FFAF42B" w14:textId="77777777" w:rsidR="0087178E" w:rsidRPr="00577043" w:rsidRDefault="007B2B90" w:rsidP="0087178E">
      <w:pPr>
        <w:rPr>
          <w:rFonts w:eastAsia="Times New Roman" w:cs="Times New Roman"/>
          <w:color w:val="000000"/>
          <w:lang w:eastAsia="da-DK"/>
        </w:rPr>
      </w:pPr>
      <w:r>
        <w:rPr>
          <w:rFonts w:eastAsia="Times New Roman" w:cs="Times New Roman"/>
          <w:iCs/>
          <w:color w:val="000000"/>
          <w:lang w:eastAsia="da-DK"/>
        </w:rPr>
        <w:t>Det foreslås med § 1</w:t>
      </w:r>
      <w:r w:rsidR="00F63F6F">
        <w:rPr>
          <w:rFonts w:eastAsia="Times New Roman" w:cs="Times New Roman"/>
          <w:iCs/>
          <w:color w:val="000000"/>
          <w:lang w:eastAsia="da-DK"/>
        </w:rPr>
        <w:t>7</w:t>
      </w:r>
      <w:r>
        <w:rPr>
          <w:rFonts w:eastAsia="Times New Roman" w:cs="Times New Roman"/>
          <w:iCs/>
          <w:color w:val="000000"/>
          <w:lang w:eastAsia="da-DK"/>
        </w:rPr>
        <w:t>, stk. 1 og 2</w:t>
      </w:r>
      <w:r w:rsidR="00217A7B">
        <w:rPr>
          <w:rFonts w:eastAsia="Times New Roman" w:cs="Times New Roman"/>
          <w:iCs/>
          <w:color w:val="000000"/>
          <w:lang w:eastAsia="da-DK"/>
        </w:rPr>
        <w:t>,</w:t>
      </w:r>
      <w:r>
        <w:rPr>
          <w:rFonts w:eastAsia="Times New Roman" w:cs="Times New Roman"/>
          <w:iCs/>
          <w:color w:val="000000"/>
          <w:lang w:eastAsia="da-DK"/>
        </w:rPr>
        <w:t xml:space="preserve"> at </w:t>
      </w:r>
      <w:r w:rsidRPr="00577043">
        <w:rPr>
          <w:rFonts w:eastAsia="Times New Roman" w:cs="Times New Roman"/>
          <w:iCs/>
          <w:color w:val="000000"/>
          <w:lang w:eastAsia="da-DK"/>
        </w:rPr>
        <w:t>videreføre lægemiddellovens § 90, stk. 2 og 3</w:t>
      </w:r>
      <w:r>
        <w:rPr>
          <w:rFonts w:eastAsia="Times New Roman" w:cs="Times New Roman"/>
          <w:iCs/>
          <w:color w:val="000000"/>
          <w:lang w:eastAsia="da-DK"/>
        </w:rPr>
        <w:t>, hvorefter Lægemiddelstyrelsen kan inspicere enhver virksomhed m.v., der udfører eller har udført et klinisk forsøg med lægemidler</w:t>
      </w:r>
      <w:r w:rsidRPr="00577043">
        <w:rPr>
          <w:rFonts w:eastAsia="Times New Roman" w:cs="Times New Roman"/>
          <w:iCs/>
          <w:color w:val="000000"/>
          <w:lang w:eastAsia="da-DK"/>
        </w:rPr>
        <w:t>.</w:t>
      </w:r>
      <w:r>
        <w:rPr>
          <w:rFonts w:eastAsia="Times New Roman" w:cs="Times New Roman"/>
          <w:iCs/>
          <w:color w:val="000000"/>
          <w:lang w:eastAsia="da-DK"/>
        </w:rPr>
        <w:t xml:space="preserve"> </w:t>
      </w:r>
      <w:r w:rsidR="0087178E">
        <w:rPr>
          <w:rFonts w:eastAsia="Times New Roman" w:cs="Times New Roman"/>
          <w:color w:val="000000"/>
          <w:lang w:eastAsia="da-DK"/>
        </w:rPr>
        <w:t xml:space="preserve">Den foreslåede bestemmelse </w:t>
      </w:r>
      <w:r w:rsidR="0087178E" w:rsidRPr="00577043">
        <w:rPr>
          <w:rFonts w:eastAsia="Times New Roman" w:cs="Times New Roman"/>
          <w:color w:val="000000"/>
          <w:lang w:eastAsia="da-DK"/>
        </w:rPr>
        <w:t xml:space="preserve">sikrer, at </w:t>
      </w:r>
      <w:r w:rsidR="0087178E">
        <w:rPr>
          <w:rFonts w:eastAsia="Times New Roman" w:cs="Times New Roman"/>
          <w:color w:val="000000"/>
          <w:lang w:eastAsia="da-DK"/>
        </w:rPr>
        <w:t>Lægemiddelstyrelsen</w:t>
      </w:r>
      <w:r w:rsidR="0087178E" w:rsidRPr="00577043">
        <w:rPr>
          <w:rFonts w:eastAsia="Times New Roman" w:cs="Times New Roman"/>
          <w:color w:val="000000"/>
          <w:lang w:eastAsia="da-DK"/>
        </w:rPr>
        <w:t xml:space="preserve">s inspektører kan foretage de nødvendige </w:t>
      </w:r>
      <w:r w:rsidR="0087178E">
        <w:rPr>
          <w:rFonts w:eastAsia="Times New Roman" w:cs="Times New Roman"/>
          <w:color w:val="000000"/>
          <w:lang w:eastAsia="da-DK"/>
        </w:rPr>
        <w:t>inspektioner af</w:t>
      </w:r>
      <w:r w:rsidR="0087178E" w:rsidRPr="00577043">
        <w:rPr>
          <w:rFonts w:eastAsia="Times New Roman" w:cs="Times New Roman"/>
          <w:color w:val="000000"/>
          <w:lang w:eastAsia="da-DK"/>
        </w:rPr>
        <w:t xml:space="preserve"> kliniske forsøg i Danmark </w:t>
      </w:r>
      <w:r w:rsidR="0087178E">
        <w:rPr>
          <w:rFonts w:eastAsia="Times New Roman" w:cs="Times New Roman"/>
          <w:color w:val="000000"/>
          <w:lang w:eastAsia="da-DK"/>
        </w:rPr>
        <w:t xml:space="preserve">i </w:t>
      </w:r>
      <w:r w:rsidR="0087178E" w:rsidRPr="00577043">
        <w:rPr>
          <w:rFonts w:eastAsia="Times New Roman" w:cs="Times New Roman"/>
          <w:color w:val="000000"/>
          <w:lang w:eastAsia="da-DK"/>
        </w:rPr>
        <w:t xml:space="preserve">overensstemmelse med forordningens </w:t>
      </w:r>
      <w:r w:rsidR="00FF06B0" w:rsidRPr="00577043">
        <w:rPr>
          <w:rFonts w:eastAsia="Times New Roman" w:cs="Times New Roman"/>
          <w:bCs/>
          <w:color w:val="000000"/>
          <w:lang w:eastAsia="da-DK"/>
        </w:rPr>
        <w:t>art</w:t>
      </w:r>
      <w:r w:rsidR="00FF06B0">
        <w:rPr>
          <w:rFonts w:eastAsia="Times New Roman" w:cs="Times New Roman"/>
          <w:bCs/>
          <w:color w:val="000000"/>
          <w:lang w:eastAsia="da-DK"/>
        </w:rPr>
        <w:t>ikel</w:t>
      </w:r>
      <w:r w:rsidR="0087178E" w:rsidRPr="00577043">
        <w:rPr>
          <w:rFonts w:eastAsia="Times New Roman" w:cs="Times New Roman"/>
          <w:color w:val="000000"/>
          <w:lang w:eastAsia="da-DK"/>
        </w:rPr>
        <w:t xml:space="preserve"> 78. Det vil fortsat være </w:t>
      </w:r>
      <w:r w:rsidR="0087178E">
        <w:rPr>
          <w:rFonts w:eastAsia="Times New Roman" w:cs="Times New Roman"/>
          <w:color w:val="000000"/>
          <w:lang w:eastAsia="da-DK"/>
        </w:rPr>
        <w:t>Lægemiddelstyrelsen</w:t>
      </w:r>
      <w:r w:rsidR="0087178E" w:rsidRPr="00577043">
        <w:rPr>
          <w:rFonts w:eastAsia="Times New Roman" w:cs="Times New Roman"/>
          <w:color w:val="000000"/>
          <w:lang w:eastAsia="da-DK"/>
        </w:rPr>
        <w:t xml:space="preserve">, der som hovedregel varetager inspektioner, men den kompetente videnskabsetiske lægemiddelkomité inddrages i </w:t>
      </w:r>
      <w:r w:rsidR="0087178E">
        <w:rPr>
          <w:rFonts w:eastAsia="Times New Roman" w:cs="Times New Roman"/>
          <w:color w:val="000000"/>
          <w:lang w:eastAsia="da-DK"/>
        </w:rPr>
        <w:t>inspektionen</w:t>
      </w:r>
      <w:r w:rsidR="0087178E" w:rsidRPr="00577043">
        <w:rPr>
          <w:rFonts w:eastAsia="Times New Roman" w:cs="Times New Roman"/>
          <w:color w:val="000000"/>
          <w:lang w:eastAsia="da-DK"/>
        </w:rPr>
        <w:t xml:space="preserve">, når </w:t>
      </w:r>
      <w:r w:rsidR="0087178E">
        <w:rPr>
          <w:rFonts w:eastAsia="Times New Roman" w:cs="Times New Roman"/>
          <w:color w:val="000000"/>
          <w:lang w:eastAsia="da-DK"/>
        </w:rPr>
        <w:t>Lægemiddelstyrelsen</w:t>
      </w:r>
      <w:r w:rsidR="0087178E" w:rsidRPr="00577043">
        <w:rPr>
          <w:rFonts w:eastAsia="Times New Roman" w:cs="Times New Roman"/>
          <w:color w:val="000000"/>
          <w:lang w:eastAsia="da-DK"/>
        </w:rPr>
        <w:t xml:space="preserve"> og komiteen vurderer, at der er behov for vurdering af videnskabsetiske aspekter. Det kan fx være i tilfælde af observationer på inspektionsstedet, der vedrører overtrædelse af forordningens og denne lovs regler om samtykke, herunder stedfortrædende samtykke, jf. forordningens kapitel V og lovens kapitel 2. I sådanne tilfælde kan </w:t>
      </w:r>
      <w:r w:rsidR="0087178E">
        <w:rPr>
          <w:rFonts w:eastAsia="Times New Roman" w:cs="Times New Roman"/>
          <w:color w:val="000000"/>
          <w:lang w:eastAsia="da-DK"/>
        </w:rPr>
        <w:t>Lægemiddelstyrelsen</w:t>
      </w:r>
      <w:r w:rsidR="0087178E" w:rsidRPr="00577043">
        <w:rPr>
          <w:rFonts w:eastAsia="Times New Roman" w:cs="Times New Roman"/>
          <w:color w:val="000000"/>
          <w:lang w:eastAsia="da-DK"/>
        </w:rPr>
        <w:t xml:space="preserve">s inspektører bede den videnskabsetiske lægemiddelkomite, der har truffet afgørelse vedrørende det pågældende forsøg, om en udtalelse om observationerne ved inspektionen giver anledning til bemærkninger. Den videnskabsetiske lægemiddelkomité kan vurdere, om der er sket en overtrædelse af samtykkebestemmelserne, graden af overtrædelsen og evt. foreslå sanktioner eller reaktioner på overtrædelsen, jf. i øvrigt lovforslagets kapitel 11 og forordningens artikel 77. </w:t>
      </w:r>
      <w:r w:rsidR="0087178E" w:rsidRPr="00577043">
        <w:rPr>
          <w:rFonts w:eastAsia="Times New Roman" w:cs="Times New Roman"/>
          <w:bCs/>
          <w:color w:val="000000"/>
          <w:lang w:eastAsia="da-DK"/>
        </w:rPr>
        <w:t xml:space="preserve">De videnskabsetiske lægemiddelkomiteer fastsætter sammen med </w:t>
      </w:r>
      <w:r w:rsidR="0087178E">
        <w:rPr>
          <w:rFonts w:eastAsia="Times New Roman" w:cs="Times New Roman"/>
          <w:bCs/>
          <w:color w:val="000000"/>
          <w:lang w:eastAsia="da-DK"/>
        </w:rPr>
        <w:t>Lægemiddelstyrelsen</w:t>
      </w:r>
      <w:r w:rsidR="0087178E" w:rsidRPr="00577043">
        <w:rPr>
          <w:rFonts w:eastAsia="Times New Roman" w:cs="Times New Roman"/>
          <w:bCs/>
          <w:color w:val="000000"/>
          <w:lang w:eastAsia="da-DK"/>
        </w:rPr>
        <w:t xml:space="preserve"> kriterier for, hvilke forhold under en inspektion, som en komité bør inddrages i vurderingen af.</w:t>
      </w:r>
    </w:p>
    <w:p w14:paraId="7975D229" w14:textId="77777777" w:rsidR="0087178E" w:rsidRPr="00577043" w:rsidRDefault="0087178E" w:rsidP="0087178E">
      <w:pPr>
        <w:rPr>
          <w:rFonts w:eastAsia="Times New Roman" w:cs="Times New Roman"/>
          <w:color w:val="000000"/>
          <w:lang w:eastAsia="da-DK"/>
        </w:rPr>
      </w:pPr>
    </w:p>
    <w:p w14:paraId="380C661B" w14:textId="77777777" w:rsidR="0087178E" w:rsidRPr="00577043" w:rsidRDefault="0087178E" w:rsidP="0087178E">
      <w:pPr>
        <w:rPr>
          <w:rFonts w:eastAsia="Times New Roman" w:cs="Times New Roman"/>
          <w:color w:val="000000"/>
          <w:lang w:eastAsia="da-DK"/>
        </w:rPr>
      </w:pPr>
      <w:r>
        <w:rPr>
          <w:rFonts w:eastAsia="Times New Roman" w:cs="Times New Roman"/>
          <w:color w:val="000000"/>
          <w:lang w:eastAsia="da-DK"/>
        </w:rPr>
        <w:t>I det omfang det før</w:t>
      </w:r>
      <w:r w:rsidRPr="00577043">
        <w:rPr>
          <w:rFonts w:eastAsia="Times New Roman" w:cs="Times New Roman"/>
          <w:color w:val="000000"/>
          <w:lang w:eastAsia="da-DK"/>
        </w:rPr>
        <w:t xml:space="preserve"> </w:t>
      </w:r>
      <w:r>
        <w:rPr>
          <w:rFonts w:eastAsia="Times New Roman" w:cs="Times New Roman"/>
          <w:color w:val="000000"/>
          <w:lang w:eastAsia="da-DK"/>
        </w:rPr>
        <w:t xml:space="preserve">gennemførelsen af </w:t>
      </w:r>
      <w:r w:rsidRPr="00577043">
        <w:rPr>
          <w:rFonts w:eastAsia="Times New Roman" w:cs="Times New Roman"/>
          <w:color w:val="000000"/>
          <w:lang w:eastAsia="da-DK"/>
        </w:rPr>
        <w:t>en inspektion vurderes, at der er behov for, at den videnskabsetiske lægemiddelkomite deltager i inspektionen, kan en repræsentant for den pågældende komité deltage i inspektionen på det konkrete forsøgssted, jf. forslagets § 1</w:t>
      </w:r>
      <w:r w:rsidR="00F63F6F">
        <w:rPr>
          <w:rFonts w:eastAsia="Times New Roman" w:cs="Times New Roman"/>
          <w:color w:val="000000"/>
          <w:lang w:eastAsia="da-DK"/>
        </w:rPr>
        <w:t>7</w:t>
      </w:r>
      <w:r w:rsidRPr="00577043">
        <w:rPr>
          <w:rFonts w:eastAsia="Times New Roman" w:cs="Times New Roman"/>
          <w:color w:val="000000"/>
          <w:lang w:eastAsia="da-DK"/>
        </w:rPr>
        <w:t xml:space="preserve">, stk. </w:t>
      </w:r>
      <w:r>
        <w:rPr>
          <w:rFonts w:eastAsia="Times New Roman" w:cs="Times New Roman"/>
          <w:color w:val="000000"/>
          <w:lang w:eastAsia="da-DK"/>
        </w:rPr>
        <w:t>3</w:t>
      </w:r>
      <w:r w:rsidRPr="00577043">
        <w:rPr>
          <w:rFonts w:eastAsia="Times New Roman" w:cs="Times New Roman"/>
          <w:color w:val="000000"/>
          <w:lang w:eastAsia="da-DK"/>
        </w:rPr>
        <w:t xml:space="preserve">, </w:t>
      </w:r>
      <w:r w:rsidR="00F63F6F">
        <w:rPr>
          <w:rFonts w:eastAsia="Times New Roman" w:cs="Times New Roman"/>
          <w:color w:val="000000"/>
          <w:lang w:eastAsia="da-DK"/>
        </w:rPr>
        <w:t>2</w:t>
      </w:r>
      <w:r w:rsidRPr="00577043">
        <w:rPr>
          <w:rFonts w:eastAsia="Times New Roman" w:cs="Times New Roman"/>
          <w:color w:val="000000"/>
          <w:lang w:eastAsia="da-DK"/>
        </w:rPr>
        <w:t xml:space="preserve">. pkt. </w:t>
      </w:r>
      <w:r w:rsidR="00F63F6F">
        <w:rPr>
          <w:rFonts w:eastAsia="Times New Roman" w:cs="Times New Roman"/>
          <w:color w:val="000000"/>
          <w:lang w:eastAsia="da-DK"/>
        </w:rPr>
        <w:t xml:space="preserve"> Den v</w:t>
      </w:r>
      <w:r>
        <w:rPr>
          <w:rFonts w:eastAsia="Times New Roman" w:cs="Times New Roman"/>
          <w:color w:val="000000"/>
          <w:lang w:eastAsia="da-DK"/>
        </w:rPr>
        <w:t>idenskabsetisk</w:t>
      </w:r>
      <w:r w:rsidR="00F63F6F">
        <w:rPr>
          <w:rFonts w:eastAsia="Times New Roman" w:cs="Times New Roman"/>
          <w:color w:val="000000"/>
          <w:lang w:eastAsia="da-DK"/>
        </w:rPr>
        <w:t>e</w:t>
      </w:r>
      <w:r>
        <w:rPr>
          <w:rFonts w:eastAsia="Times New Roman" w:cs="Times New Roman"/>
          <w:color w:val="000000"/>
          <w:lang w:eastAsia="da-DK"/>
        </w:rPr>
        <w:t xml:space="preserve"> lægemiddelkomité deltager ligeledes i den efterfølgende vurdering af fundene i inspektionen, herunder indstilling til en evt. politianmeldelse. </w:t>
      </w:r>
    </w:p>
    <w:p w14:paraId="4EB5F359" w14:textId="77777777" w:rsidR="0087178E" w:rsidRPr="0087178E" w:rsidRDefault="0087178E" w:rsidP="0087178E">
      <w:pPr>
        <w:rPr>
          <w:lang w:eastAsia="da-DK"/>
        </w:rPr>
      </w:pPr>
    </w:p>
    <w:p w14:paraId="3545797F" w14:textId="77777777" w:rsidR="00DE042E" w:rsidRDefault="00DE042E" w:rsidP="0087178E">
      <w:pPr>
        <w:pStyle w:val="Overskrift5"/>
        <w:rPr>
          <w:rFonts w:eastAsia="Times New Roman"/>
          <w:lang w:eastAsia="da-DK"/>
        </w:rPr>
      </w:pPr>
      <w:r>
        <w:rPr>
          <w:rFonts w:eastAsia="Times New Roman"/>
          <w:lang w:eastAsia="da-DK"/>
        </w:rPr>
        <w:t>2.5. Lægemiddelstyrelsens og komiteernes adgang til oplysninger om forsøget og forsøgspersoner</w:t>
      </w:r>
    </w:p>
    <w:p w14:paraId="4552C0A6" w14:textId="77777777" w:rsidR="00DE042E" w:rsidRDefault="00DE042E" w:rsidP="00DE042E">
      <w:pPr>
        <w:rPr>
          <w:rFonts w:eastAsia="Times New Roman" w:cs="Times New Roman"/>
          <w:i/>
          <w:iCs/>
          <w:color w:val="000000"/>
          <w:lang w:eastAsia="da-DK"/>
        </w:rPr>
      </w:pPr>
    </w:p>
    <w:p w14:paraId="12B56D09" w14:textId="77777777" w:rsidR="00DE042E" w:rsidRPr="005C6D94" w:rsidRDefault="00B15DD5" w:rsidP="00DE042E">
      <w:pPr>
        <w:rPr>
          <w:rFonts w:eastAsia="Times New Roman" w:cs="Times New Roman"/>
          <w:i/>
          <w:iCs/>
          <w:color w:val="000000"/>
          <w:lang w:eastAsia="da-DK"/>
        </w:rPr>
      </w:pPr>
      <w:r>
        <w:rPr>
          <w:rFonts w:eastAsia="Times New Roman" w:cs="Times New Roman"/>
          <w:i/>
          <w:iCs/>
          <w:color w:val="000000"/>
          <w:lang w:eastAsia="da-DK"/>
        </w:rPr>
        <w:t xml:space="preserve">2.5.1. </w:t>
      </w:r>
      <w:r w:rsidR="00DE042E">
        <w:rPr>
          <w:rFonts w:eastAsia="Times New Roman" w:cs="Times New Roman"/>
          <w:i/>
          <w:iCs/>
          <w:color w:val="000000"/>
          <w:lang w:eastAsia="da-DK"/>
        </w:rPr>
        <w:t>Gældende ret</w:t>
      </w:r>
    </w:p>
    <w:p w14:paraId="5524A5BF" w14:textId="77777777" w:rsidR="00DE042E" w:rsidRDefault="00DE042E" w:rsidP="00DE042E">
      <w:pPr>
        <w:rPr>
          <w:lang w:eastAsia="da-DK"/>
        </w:rPr>
      </w:pPr>
      <w:r w:rsidRPr="008F53A8">
        <w:rPr>
          <w:lang w:eastAsia="da-DK"/>
        </w:rPr>
        <w:t xml:space="preserve">Styrelsen kan </w:t>
      </w:r>
      <w:r w:rsidR="0087178E">
        <w:rPr>
          <w:lang w:eastAsia="da-DK"/>
        </w:rPr>
        <w:t xml:space="preserve">i medfør af lægemiddellovens § 90, stk. 4, </w:t>
      </w:r>
      <w:r w:rsidRPr="008F53A8">
        <w:rPr>
          <w:lang w:eastAsia="da-DK"/>
        </w:rPr>
        <w:t>påbyde udlevering af alle oplysninger, herunder skriftligt materiale, der er nødvendig</w:t>
      </w:r>
      <w:r w:rsidR="003B08E0">
        <w:rPr>
          <w:lang w:eastAsia="da-DK"/>
        </w:rPr>
        <w:t>t</w:t>
      </w:r>
      <w:r w:rsidRPr="008F53A8">
        <w:rPr>
          <w:lang w:eastAsia="da-DK"/>
        </w:rPr>
        <w:t xml:space="preserve"> for kontrollen</w:t>
      </w:r>
      <w:r w:rsidR="0087178E">
        <w:rPr>
          <w:lang w:eastAsia="da-DK"/>
        </w:rPr>
        <w:t xml:space="preserve"> efter § 90, stk. 2 og 3</w:t>
      </w:r>
      <w:r w:rsidRPr="008F53A8">
        <w:rPr>
          <w:lang w:eastAsia="da-DK"/>
        </w:rPr>
        <w:t>.</w:t>
      </w:r>
      <w:r>
        <w:rPr>
          <w:lang w:eastAsia="da-DK"/>
        </w:rPr>
        <w:t xml:space="preserve"> Det følger desuden af § 90, stk. 5, at Lægemiddelstyrelsen kan </w:t>
      </w:r>
      <w:r w:rsidR="001A6BB8">
        <w:rPr>
          <w:lang w:eastAsia="da-DK"/>
        </w:rPr>
        <w:t xml:space="preserve">videregive og </w:t>
      </w:r>
      <w:r>
        <w:rPr>
          <w:lang w:eastAsia="da-DK"/>
        </w:rPr>
        <w:t>behandle op</w:t>
      </w:r>
      <w:r w:rsidRPr="008F53A8">
        <w:rPr>
          <w:lang w:eastAsia="da-DK"/>
        </w:rPr>
        <w:t xml:space="preserve">lysninger om forsøgspersoners helbredsforhold og øvrige rent private forhold og andre fortrolige oplysninger </w:t>
      </w:r>
      <w:r>
        <w:rPr>
          <w:lang w:eastAsia="da-DK"/>
        </w:rPr>
        <w:t xml:space="preserve">som led i </w:t>
      </w:r>
      <w:r w:rsidRPr="008F53A8">
        <w:rPr>
          <w:lang w:eastAsia="da-DK"/>
        </w:rPr>
        <w:t>styrelsens kontrol uden forsøgspersonens samtykke.</w:t>
      </w:r>
    </w:p>
    <w:p w14:paraId="79F7620E" w14:textId="77777777" w:rsidR="00DE042E" w:rsidRDefault="00DE042E" w:rsidP="00DE042E">
      <w:pPr>
        <w:rPr>
          <w:lang w:eastAsia="da-DK"/>
        </w:rPr>
      </w:pPr>
    </w:p>
    <w:p w14:paraId="2279B2D7" w14:textId="77777777" w:rsidR="00DE042E" w:rsidRPr="005C6D94" w:rsidRDefault="00B15DD5" w:rsidP="00DE042E">
      <w:pPr>
        <w:rPr>
          <w:rFonts w:eastAsia="Times New Roman" w:cs="Times New Roman"/>
          <w:i/>
          <w:iCs/>
          <w:color w:val="000000"/>
          <w:lang w:eastAsia="da-DK"/>
        </w:rPr>
      </w:pPr>
      <w:r>
        <w:rPr>
          <w:rFonts w:eastAsia="Times New Roman" w:cs="Times New Roman"/>
          <w:i/>
          <w:iCs/>
          <w:color w:val="000000"/>
          <w:lang w:eastAsia="da-DK"/>
        </w:rPr>
        <w:t xml:space="preserve">2.5.2. </w:t>
      </w:r>
      <w:r w:rsidR="00DE042E">
        <w:rPr>
          <w:rFonts w:eastAsia="Times New Roman" w:cs="Times New Roman"/>
          <w:i/>
          <w:iCs/>
          <w:color w:val="000000"/>
          <w:lang w:eastAsia="da-DK"/>
        </w:rPr>
        <w:t>Forslag</w:t>
      </w:r>
    </w:p>
    <w:p w14:paraId="31CEB068" w14:textId="77777777" w:rsidR="00DE042E" w:rsidRDefault="00DE042E" w:rsidP="00DE042E">
      <w:pPr>
        <w:rPr>
          <w:rFonts w:eastAsia="Times New Roman" w:cs="Times New Roman"/>
          <w:iCs/>
          <w:color w:val="000000"/>
          <w:lang w:eastAsia="da-DK"/>
        </w:rPr>
      </w:pPr>
      <w:r>
        <w:rPr>
          <w:rFonts w:eastAsia="Times New Roman" w:cs="Times New Roman"/>
          <w:iCs/>
          <w:color w:val="000000"/>
          <w:lang w:eastAsia="da-DK"/>
        </w:rPr>
        <w:lastRenderedPageBreak/>
        <w:t xml:space="preserve">Adgang til oplysninger om forsøgsdata og journaldata er ikke reguleret i forordningen og skal derfor reguleres i national ret. </w:t>
      </w:r>
    </w:p>
    <w:p w14:paraId="61525880" w14:textId="77777777" w:rsidR="00DE042E" w:rsidRDefault="00DE042E" w:rsidP="00DE042E">
      <w:pPr>
        <w:rPr>
          <w:rFonts w:eastAsia="Times New Roman" w:cs="Times New Roman"/>
          <w:iCs/>
          <w:color w:val="000000"/>
          <w:lang w:eastAsia="da-DK"/>
        </w:rPr>
      </w:pPr>
    </w:p>
    <w:p w14:paraId="2F1A14B9" w14:textId="77777777" w:rsidR="00DE042E" w:rsidRDefault="00F63F6F" w:rsidP="00DE042E">
      <w:pPr>
        <w:rPr>
          <w:rFonts w:eastAsia="Times New Roman" w:cs="Times New Roman"/>
          <w:color w:val="000000"/>
          <w:lang w:eastAsia="da-DK"/>
        </w:rPr>
      </w:pPr>
      <w:r>
        <w:rPr>
          <w:rFonts w:eastAsia="Times New Roman" w:cs="Times New Roman"/>
          <w:iCs/>
          <w:color w:val="000000"/>
          <w:lang w:eastAsia="da-DK"/>
        </w:rPr>
        <w:t>Det foreslås som nævnt med § 17</w:t>
      </w:r>
      <w:r w:rsidR="00DE042E">
        <w:rPr>
          <w:rFonts w:eastAsia="Times New Roman" w:cs="Times New Roman"/>
          <w:iCs/>
          <w:color w:val="000000"/>
          <w:lang w:eastAsia="da-DK"/>
        </w:rPr>
        <w:t>, stk. 1 og 2,</w:t>
      </w:r>
      <w:r w:rsidR="00DE042E" w:rsidRPr="00577043">
        <w:rPr>
          <w:rFonts w:eastAsia="Times New Roman" w:cs="Times New Roman"/>
          <w:iCs/>
          <w:color w:val="000000"/>
          <w:lang w:eastAsia="da-DK"/>
        </w:rPr>
        <w:t xml:space="preserve"> </w:t>
      </w:r>
      <w:r w:rsidR="00DE042E">
        <w:rPr>
          <w:rFonts w:eastAsia="Times New Roman" w:cs="Times New Roman"/>
          <w:iCs/>
          <w:color w:val="000000"/>
          <w:lang w:eastAsia="da-DK"/>
        </w:rPr>
        <w:t xml:space="preserve">at Lægemiddelstyrelsen </w:t>
      </w:r>
      <w:r w:rsidR="003962AD">
        <w:rPr>
          <w:rFonts w:eastAsia="Times New Roman" w:cs="Times New Roman"/>
          <w:iCs/>
          <w:color w:val="000000"/>
          <w:lang w:eastAsia="da-DK"/>
        </w:rPr>
        <w:t xml:space="preserve">– som efter gældende regler </w:t>
      </w:r>
      <w:r w:rsidR="00287AD6">
        <w:rPr>
          <w:rFonts w:eastAsia="Times New Roman" w:cs="Times New Roman"/>
          <w:iCs/>
          <w:color w:val="000000"/>
          <w:lang w:eastAsia="da-DK"/>
        </w:rPr>
        <w:t>–</w:t>
      </w:r>
      <w:r w:rsidR="003962AD">
        <w:rPr>
          <w:rFonts w:eastAsia="Times New Roman" w:cs="Times New Roman"/>
          <w:iCs/>
          <w:color w:val="000000"/>
          <w:lang w:eastAsia="da-DK"/>
        </w:rPr>
        <w:t xml:space="preserve"> </w:t>
      </w:r>
      <w:r w:rsidR="00DE042E">
        <w:rPr>
          <w:rFonts w:eastAsia="Times New Roman" w:cs="Times New Roman"/>
          <w:iCs/>
          <w:color w:val="000000"/>
          <w:lang w:eastAsia="da-DK"/>
        </w:rPr>
        <w:t xml:space="preserve">kan inspicere en virksomhed, m.v., der udfører eller har udført et klinisk forsøg. Det foreslås endvidere, at Lægemiddelstyrelsen </w:t>
      </w:r>
      <w:r w:rsidR="003962AD">
        <w:rPr>
          <w:rFonts w:eastAsia="Times New Roman" w:cs="Times New Roman"/>
          <w:iCs/>
          <w:color w:val="000000"/>
          <w:lang w:eastAsia="da-DK"/>
        </w:rPr>
        <w:t xml:space="preserve">– som efter gældende regler </w:t>
      </w:r>
      <w:r w:rsidR="00287AD6">
        <w:rPr>
          <w:rFonts w:eastAsia="Times New Roman" w:cs="Times New Roman"/>
          <w:iCs/>
          <w:color w:val="000000"/>
          <w:lang w:eastAsia="da-DK"/>
        </w:rPr>
        <w:t>–</w:t>
      </w:r>
      <w:r w:rsidR="00DE042E">
        <w:rPr>
          <w:rFonts w:eastAsia="Times New Roman" w:cs="Times New Roman"/>
          <w:iCs/>
          <w:color w:val="000000"/>
          <w:lang w:eastAsia="da-DK"/>
        </w:rPr>
        <w:t xml:space="preserve"> kan påbyde udlevering af data </w:t>
      </w:r>
      <w:r w:rsidR="00E53C17">
        <w:rPr>
          <w:rFonts w:eastAsia="Times New Roman" w:cs="Times New Roman"/>
          <w:iCs/>
          <w:color w:val="000000"/>
          <w:lang w:eastAsia="da-DK"/>
        </w:rPr>
        <w:t>om</w:t>
      </w:r>
      <w:r w:rsidR="00DE042E">
        <w:rPr>
          <w:rFonts w:eastAsia="Times New Roman" w:cs="Times New Roman"/>
          <w:iCs/>
          <w:color w:val="000000"/>
          <w:lang w:eastAsia="da-DK"/>
        </w:rPr>
        <w:t xml:space="preserve"> forsøget, herunder skriftligt materiale, der er nødvendigt for inspektionen. Dette gælder tilsvarende, når Lægemiddelstyrelsen inspicerer en virksomhed m.v. på baggrund af en anmodning fra en kompetent myndighed i et andet EU-/E</w:t>
      </w:r>
      <w:r>
        <w:rPr>
          <w:rFonts w:eastAsia="Times New Roman" w:cs="Times New Roman"/>
          <w:iCs/>
          <w:color w:val="000000"/>
          <w:lang w:eastAsia="da-DK"/>
        </w:rPr>
        <w:t>ØS-land, jf. den foreslåede § 17</w:t>
      </w:r>
      <w:r w:rsidR="00DE042E">
        <w:rPr>
          <w:rFonts w:eastAsia="Times New Roman" w:cs="Times New Roman"/>
          <w:iCs/>
          <w:color w:val="000000"/>
          <w:lang w:eastAsia="da-DK"/>
        </w:rPr>
        <w:t>, stk. 2.</w:t>
      </w:r>
      <w:r w:rsidR="00A45697">
        <w:rPr>
          <w:rFonts w:eastAsia="Times New Roman" w:cs="Times New Roman"/>
          <w:iCs/>
          <w:color w:val="000000"/>
          <w:lang w:eastAsia="da-DK"/>
        </w:rPr>
        <w:t xml:space="preserve"> Udleveringen af oplysninger om forsøgspersoner i medfør af den fore</w:t>
      </w:r>
      <w:r>
        <w:rPr>
          <w:rFonts w:eastAsia="Times New Roman" w:cs="Times New Roman"/>
          <w:iCs/>
          <w:color w:val="000000"/>
          <w:lang w:eastAsia="da-DK"/>
        </w:rPr>
        <w:t>slåede § 17</w:t>
      </w:r>
      <w:r w:rsidR="00A45697">
        <w:rPr>
          <w:rFonts w:eastAsia="Times New Roman" w:cs="Times New Roman"/>
          <w:iCs/>
          <w:color w:val="000000"/>
          <w:lang w:eastAsia="da-DK"/>
        </w:rPr>
        <w:t>, stk. 1 og 2, forudsætter ikke samtykke fra forsøgspersonen.</w:t>
      </w:r>
    </w:p>
    <w:p w14:paraId="1699B81B" w14:textId="77777777" w:rsidR="00DE042E" w:rsidRPr="00577043" w:rsidRDefault="00DE042E" w:rsidP="00DE042E">
      <w:pPr>
        <w:rPr>
          <w:rFonts w:eastAsia="Times New Roman" w:cs="Times New Roman"/>
          <w:color w:val="000000"/>
          <w:lang w:eastAsia="da-DK"/>
        </w:rPr>
      </w:pPr>
    </w:p>
    <w:p w14:paraId="22388E72" w14:textId="77777777" w:rsidR="00A16E9B" w:rsidRPr="00577043" w:rsidRDefault="00F63F6F" w:rsidP="00A16E9B">
      <w:pPr>
        <w:rPr>
          <w:rFonts w:eastAsia="Times New Roman" w:cs="Times New Roman"/>
          <w:color w:val="000000"/>
          <w:lang w:eastAsia="da-DK"/>
        </w:rPr>
      </w:pPr>
      <w:r>
        <w:rPr>
          <w:lang w:eastAsia="da-DK"/>
        </w:rPr>
        <w:t>Det foreslås desuden med § 18</w:t>
      </w:r>
      <w:r w:rsidR="00DE042E">
        <w:rPr>
          <w:lang w:eastAsia="da-DK"/>
        </w:rPr>
        <w:t>, stk. 2,</w:t>
      </w:r>
      <w:r w:rsidR="00A16E9B">
        <w:rPr>
          <w:lang w:eastAsia="da-DK"/>
        </w:rPr>
        <w:t xml:space="preserve"> præciseret</w:t>
      </w:r>
      <w:r w:rsidR="00287AD6">
        <w:rPr>
          <w:lang w:eastAsia="da-DK"/>
        </w:rPr>
        <w:t>,</w:t>
      </w:r>
      <w:r w:rsidR="00DE042E">
        <w:rPr>
          <w:lang w:eastAsia="da-DK"/>
        </w:rPr>
        <w:t xml:space="preserve"> at Lægemiddelstyrelsen s</w:t>
      </w:r>
      <w:r>
        <w:rPr>
          <w:lang w:eastAsia="da-DK"/>
        </w:rPr>
        <w:t>om led i inspektionen efter § 17</w:t>
      </w:r>
      <w:r w:rsidR="00DE042E">
        <w:rPr>
          <w:lang w:eastAsia="da-DK"/>
        </w:rPr>
        <w:t>, stk. 1 og 2, har direkte adgang til at indhente oplysninger i patientjournaler m</w:t>
      </w:r>
      <w:r w:rsidR="00094421">
        <w:rPr>
          <w:lang w:eastAsia="da-DK"/>
        </w:rPr>
        <w:t>.</w:t>
      </w:r>
      <w:r w:rsidR="00DE042E">
        <w:rPr>
          <w:lang w:eastAsia="da-DK"/>
        </w:rPr>
        <w:t xml:space="preserve">v., herunder fra elektroniske patientjournaler med henblik på at se oplysninger om forsøgspersoners helbredsforhold, som er nødvendige som led i Lægemiddelstyrelsens inspektion. </w:t>
      </w:r>
      <w:r w:rsidR="00A16E9B">
        <w:rPr>
          <w:rFonts w:eastAsia="Times New Roman" w:cs="Times New Roman"/>
          <w:color w:val="000000"/>
          <w:lang w:eastAsia="da-DK"/>
        </w:rPr>
        <w:t>Baggrunden for, at det foreslås, at Lægemiddelstyrelsen får direkte adgang til at indhente oplysninger fra patientjournaler, er, at det er Lægemiddelstyrelsen</w:t>
      </w:r>
      <w:r w:rsidR="00A16E9B" w:rsidRPr="00577043">
        <w:rPr>
          <w:rFonts w:eastAsia="Times New Roman" w:cs="Times New Roman"/>
          <w:color w:val="000000"/>
          <w:lang w:eastAsia="da-DK"/>
        </w:rPr>
        <w:t xml:space="preserve">s erfaring, at der ofte er diskrepans mellem på den ene side det, som investigator opfatter som patientens journal og forsøgsdokumenter, og på den anden side hvad </w:t>
      </w:r>
      <w:r w:rsidR="00A16E9B">
        <w:rPr>
          <w:rFonts w:eastAsia="Times New Roman" w:cs="Times New Roman"/>
          <w:color w:val="000000"/>
          <w:lang w:eastAsia="da-DK"/>
        </w:rPr>
        <w:t>Lægemiddelstyrelsen</w:t>
      </w:r>
      <w:r w:rsidR="00A16E9B" w:rsidRPr="00577043">
        <w:rPr>
          <w:rFonts w:eastAsia="Times New Roman" w:cs="Times New Roman"/>
          <w:color w:val="000000"/>
          <w:lang w:eastAsia="da-DK"/>
        </w:rPr>
        <w:t xml:space="preserve"> har behov for af komplet dokumentation for at kunne kontrollere forsøget. Der er fx risiko for underrapportering af bivirkninger, manglende rapportering af samtidig medicinering etc. </w:t>
      </w:r>
    </w:p>
    <w:p w14:paraId="6EBD6C73" w14:textId="77777777" w:rsidR="00A16E9B" w:rsidRPr="00577043" w:rsidRDefault="00A16E9B" w:rsidP="00A16E9B">
      <w:pPr>
        <w:rPr>
          <w:rFonts w:eastAsia="Times New Roman" w:cs="Times New Roman"/>
          <w:color w:val="000000"/>
          <w:lang w:eastAsia="da-DK"/>
        </w:rPr>
      </w:pPr>
    </w:p>
    <w:p w14:paraId="73F66B17" w14:textId="77777777" w:rsidR="00A16E9B" w:rsidRPr="00577043" w:rsidRDefault="00A16E9B" w:rsidP="00A16E9B">
      <w:pPr>
        <w:rPr>
          <w:rFonts w:eastAsia="Times New Roman" w:cs="Times New Roman"/>
          <w:color w:val="000000"/>
          <w:lang w:eastAsia="da-DK"/>
        </w:rPr>
      </w:pPr>
      <w:r w:rsidRPr="00577043">
        <w:rPr>
          <w:rFonts w:eastAsia="Times New Roman" w:cs="Times New Roman"/>
          <w:color w:val="000000"/>
          <w:lang w:eastAsia="da-DK"/>
        </w:rPr>
        <w:t xml:space="preserve">Da der i praksis i nogle tilfælde har været tvivl om fortolkningen af den nuværende bestemmelse, er det nu udtrykkeligt præciseret, at bestemmelsen giver inspektørerne en direkte adgang til de dele af de elektroniske systemer, der efter inspektørernes vurdering indeholder de relevante oplysninger. </w:t>
      </w:r>
      <w:r>
        <w:rPr>
          <w:rFonts w:eastAsia="Times New Roman" w:cs="Times New Roman"/>
          <w:color w:val="000000"/>
          <w:lang w:eastAsia="da-DK"/>
        </w:rPr>
        <w:t>Det forudsættes, at forsøgspersonerne informeres herom.</w:t>
      </w:r>
    </w:p>
    <w:p w14:paraId="4F77402C" w14:textId="77777777" w:rsidR="00A16E9B" w:rsidRPr="00577043" w:rsidRDefault="00A16E9B" w:rsidP="00A16E9B">
      <w:pPr>
        <w:rPr>
          <w:rFonts w:eastAsia="Times New Roman" w:cs="Times New Roman"/>
          <w:color w:val="000000"/>
          <w:lang w:eastAsia="da-DK"/>
        </w:rPr>
      </w:pPr>
    </w:p>
    <w:p w14:paraId="2CE5CAB3" w14:textId="77777777" w:rsidR="008A384B" w:rsidRDefault="008A384B" w:rsidP="008A384B">
      <w:pPr>
        <w:rPr>
          <w:rFonts w:eastAsia="Times New Roman" w:cs="Times New Roman"/>
          <w:color w:val="000000"/>
          <w:lang w:eastAsia="da-DK"/>
        </w:rPr>
      </w:pPr>
      <w:r>
        <w:rPr>
          <w:rFonts w:eastAsia="Times New Roman" w:cs="Times New Roman"/>
          <w:color w:val="000000"/>
          <w:lang w:eastAsia="da-DK"/>
        </w:rPr>
        <w:t xml:space="preserve">Såfremt den videnskabsetiske lægemiddelkomité </w:t>
      </w:r>
      <w:r w:rsidRPr="00577043">
        <w:rPr>
          <w:rFonts w:eastAsia="Times New Roman" w:cs="Times New Roman"/>
          <w:color w:val="000000"/>
          <w:lang w:eastAsia="da-DK"/>
        </w:rPr>
        <w:t xml:space="preserve">deltager i inspektionen på det konkrete forsøgssted, </w:t>
      </w:r>
      <w:r>
        <w:rPr>
          <w:rFonts w:eastAsia="Times New Roman" w:cs="Times New Roman"/>
          <w:color w:val="000000"/>
          <w:lang w:eastAsia="da-DK"/>
        </w:rPr>
        <w:t xml:space="preserve">kan komiteen eller dennes repræsentanter ligeledes påbyde udlevering af data </w:t>
      </w:r>
      <w:r w:rsidR="00E53C17">
        <w:rPr>
          <w:rFonts w:eastAsia="Times New Roman" w:cs="Times New Roman"/>
          <w:color w:val="000000"/>
          <w:lang w:eastAsia="da-DK"/>
        </w:rPr>
        <w:t>om</w:t>
      </w:r>
      <w:r>
        <w:rPr>
          <w:rFonts w:eastAsia="Times New Roman" w:cs="Times New Roman"/>
          <w:color w:val="000000"/>
          <w:lang w:eastAsia="da-DK"/>
        </w:rPr>
        <w:t xml:space="preserve"> forsøget, som er nødvendige for inspektionen</w:t>
      </w:r>
      <w:r w:rsidR="00F63F6F">
        <w:rPr>
          <w:rFonts w:eastAsia="Times New Roman" w:cs="Times New Roman"/>
          <w:color w:val="000000"/>
          <w:lang w:eastAsia="da-DK"/>
        </w:rPr>
        <w:t>, jf. den foreslåede § 17, stk. 1 og 2,</w:t>
      </w:r>
      <w:r>
        <w:rPr>
          <w:rFonts w:eastAsia="Times New Roman" w:cs="Times New Roman"/>
          <w:color w:val="000000"/>
          <w:lang w:eastAsia="da-DK"/>
        </w:rPr>
        <w:t xml:space="preserve"> samt indhente oplysninger i patientjournaler, jf. </w:t>
      </w:r>
      <w:r w:rsidRPr="00577043">
        <w:rPr>
          <w:rFonts w:eastAsia="Times New Roman" w:cs="Times New Roman"/>
          <w:color w:val="000000"/>
          <w:lang w:eastAsia="da-DK"/>
        </w:rPr>
        <w:t>lovforslag</w:t>
      </w:r>
      <w:r w:rsidR="00F63F6F">
        <w:rPr>
          <w:rFonts w:eastAsia="Times New Roman" w:cs="Times New Roman"/>
          <w:color w:val="000000"/>
          <w:lang w:eastAsia="da-DK"/>
        </w:rPr>
        <w:t>ets § 18</w:t>
      </w:r>
      <w:r w:rsidRPr="00577043">
        <w:rPr>
          <w:rFonts w:eastAsia="Times New Roman" w:cs="Times New Roman"/>
          <w:color w:val="000000"/>
          <w:lang w:eastAsia="da-DK"/>
        </w:rPr>
        <w:t xml:space="preserve">, stk. </w:t>
      </w:r>
      <w:r w:rsidR="00F63F6F">
        <w:rPr>
          <w:rFonts w:eastAsia="Times New Roman" w:cs="Times New Roman"/>
          <w:color w:val="000000"/>
          <w:lang w:eastAsia="da-DK"/>
        </w:rPr>
        <w:t>2</w:t>
      </w:r>
      <w:r>
        <w:rPr>
          <w:rFonts w:eastAsia="Times New Roman" w:cs="Times New Roman"/>
          <w:color w:val="000000"/>
          <w:lang w:eastAsia="da-DK"/>
        </w:rPr>
        <w:t>.</w:t>
      </w:r>
    </w:p>
    <w:p w14:paraId="069E1264" w14:textId="77777777" w:rsidR="008A384B" w:rsidRDefault="008A384B" w:rsidP="005F4B01">
      <w:pPr>
        <w:rPr>
          <w:rFonts w:eastAsia="Times New Roman" w:cs="Times New Roman"/>
          <w:color w:val="000000"/>
          <w:lang w:eastAsia="da-DK"/>
        </w:rPr>
      </w:pPr>
    </w:p>
    <w:p w14:paraId="7934463D" w14:textId="77777777" w:rsidR="005F4B01" w:rsidRDefault="005F4B01" w:rsidP="005F4B01">
      <w:pPr>
        <w:rPr>
          <w:rFonts w:eastAsia="Times New Roman" w:cs="Times New Roman"/>
          <w:color w:val="000000"/>
          <w:lang w:eastAsia="da-DK"/>
        </w:rPr>
      </w:pPr>
      <w:r>
        <w:rPr>
          <w:rFonts w:eastAsia="Times New Roman" w:cs="Times New Roman"/>
          <w:color w:val="000000"/>
          <w:lang w:eastAsia="da-DK"/>
        </w:rPr>
        <w:t xml:space="preserve">Videnskabsetisk lægemiddelkomités deltagelse vil </w:t>
      </w:r>
      <w:r w:rsidR="008A384B">
        <w:rPr>
          <w:rFonts w:eastAsia="Times New Roman" w:cs="Times New Roman"/>
          <w:color w:val="000000"/>
          <w:lang w:eastAsia="da-DK"/>
        </w:rPr>
        <w:t xml:space="preserve">således </w:t>
      </w:r>
      <w:r>
        <w:rPr>
          <w:rFonts w:eastAsia="Times New Roman" w:cs="Times New Roman"/>
          <w:color w:val="000000"/>
          <w:lang w:eastAsia="da-DK"/>
        </w:rPr>
        <w:t>medføre, at komiteen vil komme til at behandle personoplysninger. Denne behandling vil kunne foretages inden for rammerne af persondatalovens § 7, stk. 5.</w:t>
      </w:r>
    </w:p>
    <w:p w14:paraId="6577900A" w14:textId="77777777" w:rsidR="00DE042E" w:rsidRPr="00577043" w:rsidRDefault="00DE042E" w:rsidP="00DE042E">
      <w:pPr>
        <w:rPr>
          <w:rFonts w:eastAsia="Times New Roman" w:cs="Times New Roman"/>
          <w:color w:val="000000"/>
          <w:lang w:eastAsia="da-DK"/>
        </w:rPr>
      </w:pPr>
    </w:p>
    <w:p w14:paraId="36DDAF78" w14:textId="77777777" w:rsidR="00DE042E" w:rsidRDefault="00DE042E" w:rsidP="00DE042E">
      <w:pPr>
        <w:pStyle w:val="Overskrift5"/>
        <w:rPr>
          <w:rFonts w:eastAsia="Times New Roman"/>
          <w:lang w:eastAsia="da-DK"/>
        </w:rPr>
      </w:pPr>
      <w:r w:rsidRPr="00577043">
        <w:rPr>
          <w:rFonts w:eastAsia="Times New Roman"/>
          <w:lang w:eastAsia="da-DK"/>
        </w:rPr>
        <w:t>2.</w:t>
      </w:r>
      <w:r w:rsidR="00B15DD5">
        <w:rPr>
          <w:rFonts w:eastAsia="Times New Roman"/>
          <w:lang w:eastAsia="da-DK"/>
        </w:rPr>
        <w:t>6</w:t>
      </w:r>
      <w:r>
        <w:rPr>
          <w:rFonts w:eastAsia="Times New Roman"/>
          <w:lang w:eastAsia="da-DK"/>
        </w:rPr>
        <w:t>. Sponsors</w:t>
      </w:r>
      <w:r w:rsidR="00177B9B">
        <w:rPr>
          <w:rFonts w:eastAsia="Times New Roman"/>
          <w:lang w:eastAsia="da-DK"/>
        </w:rPr>
        <w:t xml:space="preserve"> og</w:t>
      </w:r>
      <w:r>
        <w:rPr>
          <w:rFonts w:eastAsia="Times New Roman"/>
          <w:lang w:eastAsia="da-DK"/>
        </w:rPr>
        <w:t xml:space="preserve"> investigators adgang til oplysninger som led i kontrol</w:t>
      </w:r>
    </w:p>
    <w:p w14:paraId="71A14E48" w14:textId="77777777" w:rsidR="00F506F0" w:rsidRDefault="00F506F0" w:rsidP="00CB2276">
      <w:pPr>
        <w:rPr>
          <w:rFonts w:eastAsia="Times New Roman" w:cs="Times New Roman"/>
          <w:bCs/>
          <w:color w:val="000000"/>
          <w:lang w:eastAsia="da-DK"/>
        </w:rPr>
      </w:pPr>
    </w:p>
    <w:p w14:paraId="54450921" w14:textId="77777777" w:rsidR="00DE042E" w:rsidRPr="00E0671E" w:rsidRDefault="00B15DD5" w:rsidP="00DE042E">
      <w:pPr>
        <w:rPr>
          <w:i/>
        </w:rPr>
      </w:pPr>
      <w:r>
        <w:rPr>
          <w:i/>
        </w:rPr>
        <w:t xml:space="preserve">2.6.1. </w:t>
      </w:r>
      <w:r w:rsidR="00DE042E">
        <w:rPr>
          <w:i/>
        </w:rPr>
        <w:t>Gældende ret</w:t>
      </w:r>
    </w:p>
    <w:p w14:paraId="777C2342" w14:textId="77777777" w:rsidR="00662BC8" w:rsidRDefault="004F5BCA" w:rsidP="00DE042E">
      <w:r>
        <w:t xml:space="preserve">Efter sundhedslovens § 46, stk. 1, </w:t>
      </w:r>
      <w:r w:rsidR="00DE042E" w:rsidRPr="00577043">
        <w:t xml:space="preserve">har en forsøgsansvarlig forsker </w:t>
      </w:r>
      <w:r w:rsidR="00F31067">
        <w:t xml:space="preserve">adgang til patientjournaler med henblik på dels at finde frem til personer, der vil være relevante til et konkret klinisk forsøg, dels til brug for </w:t>
      </w:r>
      <w:r>
        <w:t xml:space="preserve">gennemførelsen af et godkendt forsøg, såfremt der er meddelt tilladelse til projektet af en videnskabsetisk komité. Forskeren kan </w:t>
      </w:r>
      <w:r w:rsidR="00DE042E" w:rsidRPr="00577043">
        <w:t xml:space="preserve">få videregivet oplysninger om enkelte personers helbredsforhold, øvrige rent private forhold og private oplysninger fra patientjournaler til brug for </w:t>
      </w:r>
      <w:r>
        <w:t xml:space="preserve">det godkendte </w:t>
      </w:r>
      <w:r w:rsidR="00DE042E" w:rsidRPr="00577043">
        <w:t>forskningsprojekt</w:t>
      </w:r>
      <w:r>
        <w:t>.</w:t>
      </w:r>
    </w:p>
    <w:p w14:paraId="706186DF" w14:textId="77777777" w:rsidR="00662BC8" w:rsidRDefault="00662BC8" w:rsidP="00DE042E"/>
    <w:p w14:paraId="6880086E" w14:textId="77777777" w:rsidR="00461984" w:rsidRDefault="00461984" w:rsidP="00DE042E">
      <w:r>
        <w:t xml:space="preserve">Investigators adgang til videregivelse af oplysninger fra patientjournalen er på godkendelsestidspunktet ikke afhængig af et samtykke fra de enkelte deltagere, da adgangen i nogle tilfælde også anvendes som led i investigators screening af mulige forsøgspersoner og rekruttering af deltagere til forsøget. Den fortsatte adgang til videregivelse af oplysninger fra konkrete patientjournaler til investigator til brug i det kliniske forsøg må imidlertid antages at bero på, at de enkelte deltagere </w:t>
      </w:r>
      <w:r w:rsidR="00545891">
        <w:t xml:space="preserve">giver </w:t>
      </w:r>
      <w:r>
        <w:t>samtykke til deltagelse i forsøget</w:t>
      </w:r>
      <w:r w:rsidR="00545891">
        <w:t xml:space="preserve">. I den forbindelse skal forsøgspersonerne have </w:t>
      </w:r>
      <w:r>
        <w:t>information om, at der til brug for forsøget indhentes oplysninger fra den pågældende patientjournal, jf. § 6, stk. 3, i bekendtgørelse nr. 1149 af 30. september 2013 om information og samtykke m</w:t>
      </w:r>
      <w:r w:rsidR="00094421">
        <w:t>.</w:t>
      </w:r>
      <w:r>
        <w:t>v.</w:t>
      </w:r>
    </w:p>
    <w:p w14:paraId="12D041B3" w14:textId="77777777" w:rsidR="00461984" w:rsidRDefault="00461984" w:rsidP="00DE042E"/>
    <w:p w14:paraId="5A752C6B" w14:textId="77777777" w:rsidR="00DE042E" w:rsidRPr="00577043" w:rsidRDefault="00DE042E" w:rsidP="00DE042E">
      <w:r>
        <w:lastRenderedPageBreak/>
        <w:t xml:space="preserve">Ifølge komitélovens § 3, stk. 4, </w:t>
      </w:r>
      <w:r w:rsidRPr="00577043">
        <w:t>udstrækkes det informerede samtykke til deltagelse i det konkrete forsøg til også at omfatte samtykke til, at nødvendige helbredsoplysninger og andre fortrolige oplysninger om forsøgspersonen kan videregives og behandles som led i nødvendig egenkontrol og kvalitetskontrol, som sponsor og monitor er forpligtet til at udføre.</w:t>
      </w:r>
    </w:p>
    <w:p w14:paraId="5C35EE25" w14:textId="77777777" w:rsidR="00DE042E" w:rsidRPr="00577043" w:rsidRDefault="00DE042E" w:rsidP="00DE042E"/>
    <w:p w14:paraId="1BFDE327" w14:textId="77777777" w:rsidR="00DE042E" w:rsidRDefault="00DE042E" w:rsidP="00DE042E">
      <w:r w:rsidRPr="00577043">
        <w:t xml:space="preserve">Det er </w:t>
      </w:r>
      <w:r w:rsidR="002073A9">
        <w:t xml:space="preserve">således </w:t>
      </w:r>
      <w:r w:rsidRPr="00577043">
        <w:t>en forudsætning for gennemførelse af et klinisk forsøg og endvidere en nødvendig forudsætning for det videnskabelige arbejde med et klinisk lægemiddelforsøg, at sponsor og</w:t>
      </w:r>
      <w:r>
        <w:t xml:space="preserve"> sponsors repræsentant (fx </w:t>
      </w:r>
      <w:r w:rsidRPr="00577043">
        <w:t>monitor</w:t>
      </w:r>
      <w:r>
        <w:t>)</w:t>
      </w:r>
      <w:r w:rsidRPr="00577043">
        <w:t xml:space="preserve"> har adgang til forsøgspersonernes patientjournal som led i kvalitetssikring og egenkontrol. Sponsor er ansvarlig for gennemførelsen og kvaliteten af et klinisk lægemiddelforsøg og skal sikre, at forsøget planlægges og udføres i overensstemmelse med god klinisk praksis, herunder at data registreres og rapporteres efter procedurer, der sikrer kvaliteten i alle forsøgets aspekter, jf. bl.a. §§ 3-5 i bekendtgørelse nr. 695 af 12. juni 2013 om god klinisk praksis i forbindelse med kliniske forsøg med lægemidler (GCP-bekendtgørelsen).</w:t>
      </w:r>
      <w:r>
        <w:t xml:space="preserve"> </w:t>
      </w:r>
      <w:r w:rsidR="002073A9">
        <w:t xml:space="preserve">Det er fx </w:t>
      </w:r>
      <w:r w:rsidRPr="00577043">
        <w:t>et krav at rapportere varighed og konsekvens af bivirkninger</w:t>
      </w:r>
      <w:r w:rsidR="002073A9">
        <w:t xml:space="preserve"> til myndigheder</w:t>
      </w:r>
      <w:r w:rsidRPr="00577043">
        <w:t xml:space="preserve"> for at verificere sikkerhedsprofilen på de afprøvede lægemidler.</w:t>
      </w:r>
    </w:p>
    <w:p w14:paraId="75FFFD3F" w14:textId="77777777" w:rsidR="00DE042E" w:rsidRDefault="00DE042E" w:rsidP="00DE042E"/>
    <w:p w14:paraId="78A34EEC" w14:textId="77777777" w:rsidR="00DE042E" w:rsidRDefault="002073A9" w:rsidP="00CB2276">
      <w:r>
        <w:t>Det er en</w:t>
      </w:r>
      <w:r w:rsidR="00DE042E">
        <w:t xml:space="preserve"> </w:t>
      </w:r>
      <w:r w:rsidR="00DE042E" w:rsidRPr="00577043">
        <w:t xml:space="preserve">forudsætning for forsøgspersoners konkrete inkludering i et forskningsprojekt, at forsøgspersonerne </w:t>
      </w:r>
      <w:r w:rsidR="00DE042E">
        <w:t>forud for samtykket informeres om</w:t>
      </w:r>
      <w:r w:rsidR="00DE042E" w:rsidRPr="00577043">
        <w:t>, at helbredsoplysninger m</w:t>
      </w:r>
      <w:r w:rsidR="00094421">
        <w:t>.</w:t>
      </w:r>
      <w:r w:rsidR="00DE042E" w:rsidRPr="00577043">
        <w:t>v. kan blive undergivet behandling som led i k</w:t>
      </w:r>
      <w:r w:rsidR="00DE042E">
        <w:t>valitetssikring og egenkontrol.</w:t>
      </w:r>
    </w:p>
    <w:p w14:paraId="2C17A973" w14:textId="77777777" w:rsidR="00DE042E" w:rsidRDefault="00DE042E" w:rsidP="00CB2276"/>
    <w:p w14:paraId="22CC620B" w14:textId="77777777" w:rsidR="00DE042E" w:rsidRDefault="00B15DD5" w:rsidP="00CB2276">
      <w:r>
        <w:rPr>
          <w:i/>
        </w:rPr>
        <w:t>2.6.</w:t>
      </w:r>
      <w:r w:rsidR="00461984">
        <w:rPr>
          <w:i/>
        </w:rPr>
        <w:t>2</w:t>
      </w:r>
      <w:r>
        <w:rPr>
          <w:i/>
        </w:rPr>
        <w:t xml:space="preserve">. </w:t>
      </w:r>
      <w:r w:rsidR="00DE042E">
        <w:rPr>
          <w:i/>
        </w:rPr>
        <w:t>Forslag</w:t>
      </w:r>
    </w:p>
    <w:p w14:paraId="15D9FB7E" w14:textId="77777777" w:rsidR="00DE042E" w:rsidRPr="00577043" w:rsidRDefault="00DE042E" w:rsidP="00DE042E">
      <w:r w:rsidRPr="00577043">
        <w:t xml:space="preserve">Sponsor er ifølge forordningens artikel 57 forpligtet til at monitorere gennemførelsen af det kliniske forsøg. Sponsor er desuden som følge af forordningens artikel 57 forpligtet til at føre en masterfil for det kliniske forsøg. </w:t>
      </w:r>
      <w:r>
        <w:t>Masterfilen skal indeholde de vigtigste dokumenter m</w:t>
      </w:r>
      <w:r w:rsidR="000D660C">
        <w:t>ed henblik på</w:t>
      </w:r>
      <w:r>
        <w:t xml:space="preserve"> kontrol af gennemførelsen af forsøget og kvaliteten af de genererede data, og sponsor er dataansvarlig for filen. </w:t>
      </w:r>
      <w:r w:rsidRPr="00577043">
        <w:t xml:space="preserve">Adgangen til forsøgspersoners patientjournal er imidlertid ikke reguleret i forordningen. Regulering af </w:t>
      </w:r>
      <w:r>
        <w:t xml:space="preserve">adgangen til </w:t>
      </w:r>
      <w:r w:rsidRPr="00577043">
        <w:t xml:space="preserve">patientjournaler forudsættes </w:t>
      </w:r>
      <w:r>
        <w:t xml:space="preserve">således </w:t>
      </w:r>
      <w:r w:rsidRPr="00577043">
        <w:t>reguleret i national ret.</w:t>
      </w:r>
    </w:p>
    <w:p w14:paraId="6691CCCA" w14:textId="77777777" w:rsidR="00DE042E" w:rsidRPr="00577043" w:rsidRDefault="00DE042E" w:rsidP="00DE042E"/>
    <w:p w14:paraId="026A4E2F" w14:textId="77777777" w:rsidR="00DE042E" w:rsidRPr="00577043" w:rsidRDefault="00DE042E" w:rsidP="00DE042E">
      <w:r w:rsidRPr="00577043">
        <w:t>Det foreslås</w:t>
      </w:r>
      <w:r>
        <w:t xml:space="preserve"> med </w:t>
      </w:r>
      <w:r>
        <w:rPr>
          <w:i/>
        </w:rPr>
        <w:t>§ 1</w:t>
      </w:r>
      <w:r w:rsidR="00BF5461">
        <w:rPr>
          <w:i/>
        </w:rPr>
        <w:t xml:space="preserve">9, </w:t>
      </w:r>
      <w:r w:rsidRPr="00EC0709">
        <w:rPr>
          <w:i/>
        </w:rPr>
        <w:t>stk. 1</w:t>
      </w:r>
      <w:r w:rsidRPr="00577043">
        <w:t xml:space="preserve">, at sponsor og </w:t>
      </w:r>
      <w:r>
        <w:t>sponsors repræsentant (</w:t>
      </w:r>
      <w:r w:rsidRPr="00577043">
        <w:t>monitor</w:t>
      </w:r>
      <w:r>
        <w:t>)</w:t>
      </w:r>
      <w:r w:rsidR="00DF0ECA">
        <w:t xml:space="preserve"> </w:t>
      </w:r>
      <w:r>
        <w:t xml:space="preserve">kan indhente og behandle </w:t>
      </w:r>
      <w:r w:rsidRPr="00577043">
        <w:t xml:space="preserve">relevante </w:t>
      </w:r>
      <w:r>
        <w:t>oplysninger</w:t>
      </w:r>
      <w:r w:rsidRPr="00577043">
        <w:t xml:space="preserve"> fra forsøgsdeltageres patientjournal</w:t>
      </w:r>
      <w:r>
        <w:t>, herunder elektroniske journaler,</w:t>
      </w:r>
      <w:r w:rsidRPr="00577043">
        <w:t xml:space="preserve"> som led i den lovpligtige egenkontrol og kvalitetskontrol. </w:t>
      </w:r>
      <w:r w:rsidR="00174040">
        <w:t>Det fo</w:t>
      </w:r>
      <w:r>
        <w:t>reslås</w:t>
      </w:r>
      <w:r w:rsidR="00174040">
        <w:t xml:space="preserve"> således</w:t>
      </w:r>
      <w:r>
        <w:t>, at s</w:t>
      </w:r>
      <w:r w:rsidRPr="00577043">
        <w:t xml:space="preserve">ponsorerne </w:t>
      </w:r>
      <w:r>
        <w:t>og monitorerne kan få</w:t>
      </w:r>
      <w:r w:rsidRPr="00577043">
        <w:t xml:space="preserve"> direkte elektronisk adgang til </w:t>
      </w:r>
      <w:r>
        <w:t>patientjournaler</w:t>
      </w:r>
      <w:r w:rsidRPr="00577043">
        <w:t xml:space="preserve"> for bl.a. at kunne sikre, at investigatorerne rapporterer fyldestgørende til sponsor, som derefter rapporterer til myndighederne.</w:t>
      </w:r>
    </w:p>
    <w:p w14:paraId="43460AA9" w14:textId="77777777" w:rsidR="00DE042E" w:rsidRDefault="00DE042E" w:rsidP="00DE042E"/>
    <w:p w14:paraId="7113C7F7" w14:textId="77777777" w:rsidR="00DE042E" w:rsidRPr="00577043" w:rsidRDefault="00DE042E" w:rsidP="00DE042E">
      <w:r>
        <w:t>S</w:t>
      </w:r>
      <w:r w:rsidRPr="00577043">
        <w:t>ponsors</w:t>
      </w:r>
      <w:r>
        <w:t>, monitors</w:t>
      </w:r>
      <w:r w:rsidRPr="00577043">
        <w:t xml:space="preserve"> og investigator</w:t>
      </w:r>
      <w:r>
        <w:t>s</w:t>
      </w:r>
      <w:r w:rsidRPr="00577043">
        <w:t xml:space="preserve"> </w:t>
      </w:r>
      <w:r>
        <w:t xml:space="preserve">adgang </w:t>
      </w:r>
      <w:r w:rsidRPr="00577043">
        <w:t xml:space="preserve">til </w:t>
      </w:r>
      <w:r>
        <w:t xml:space="preserve">at se nødvendige oplysninger i en </w:t>
      </w:r>
      <w:r w:rsidRPr="00577043">
        <w:t>forsøgspersons journaler</w:t>
      </w:r>
      <w:r>
        <w:t xml:space="preserve"> forudsætter et informeret</w:t>
      </w:r>
      <w:r w:rsidRPr="00577043">
        <w:t xml:space="preserve"> samtykke eller stedfortrædende </w:t>
      </w:r>
      <w:r>
        <w:t xml:space="preserve">informeret </w:t>
      </w:r>
      <w:r w:rsidRPr="00577043">
        <w:t xml:space="preserve">samtykke </w:t>
      </w:r>
      <w:r>
        <w:t xml:space="preserve">fra </w:t>
      </w:r>
      <w:r w:rsidRPr="00577043">
        <w:t>forsøgsperson</w:t>
      </w:r>
      <w:r>
        <w:t>en</w:t>
      </w:r>
      <w:r w:rsidRPr="00577043">
        <w:t>.</w:t>
      </w:r>
      <w:r>
        <w:t xml:space="preserve"> </w:t>
      </w:r>
      <w:r w:rsidR="00CD126E">
        <w:t>Det er derfor</w:t>
      </w:r>
      <w:r>
        <w:t xml:space="preserve"> en </w:t>
      </w:r>
      <w:r w:rsidRPr="00577043">
        <w:t>forudsætning</w:t>
      </w:r>
      <w:r>
        <w:t xml:space="preserve">, at forsøgspersoner forud for samtykke til deltagelse i et klinisk forsøg informeres om, at </w:t>
      </w:r>
      <w:r w:rsidRPr="00577043">
        <w:t>helbredsoplysninger m</w:t>
      </w:r>
      <w:r w:rsidR="00094421">
        <w:t>.</w:t>
      </w:r>
      <w:r w:rsidRPr="00577043">
        <w:t>v. kan blive undergivet behandling som led i kvalitetssikring og egenkontrol.</w:t>
      </w:r>
    </w:p>
    <w:p w14:paraId="1EEB4605" w14:textId="77777777" w:rsidR="00DE042E" w:rsidRDefault="00DE042E" w:rsidP="00DE042E"/>
    <w:p w14:paraId="42E9E7E3" w14:textId="77777777" w:rsidR="00DE042E" w:rsidRPr="00577043" w:rsidRDefault="00DE042E" w:rsidP="00DE042E">
      <w:r>
        <w:t>I akutte forsøg, hvor forsøgspersonerne inkluderes uden forudgående samtykke, jf. forordningens artikel 35, er det nødvendigt at sikre den samme adgang til at behandle oplysninger fra patientjournalerne som led i forsøget gennemførelse, monitorering og kontrol. Det forudsættes, at der hurtigst muligt indhentes et stedfortrædende samtykke, jf. forordningens artikel 35, stk. 2, i disse situationer.</w:t>
      </w:r>
    </w:p>
    <w:p w14:paraId="2271C08A" w14:textId="77777777" w:rsidR="00DE042E" w:rsidRDefault="00DE042E" w:rsidP="00DE042E">
      <w:pPr>
        <w:rPr>
          <w:lang w:eastAsia="da-DK"/>
        </w:rPr>
      </w:pPr>
    </w:p>
    <w:p w14:paraId="00F43625" w14:textId="77777777" w:rsidR="00DE042E" w:rsidRDefault="00DE042E" w:rsidP="00DE042E">
      <w:r>
        <w:t xml:space="preserve">Det er ministeriets vurdering, at </w:t>
      </w:r>
      <w:r w:rsidRPr="00577043">
        <w:t>personoplysningerne</w:t>
      </w:r>
      <w:r>
        <w:t xml:space="preserve"> i forsøget</w:t>
      </w:r>
      <w:r w:rsidRPr="00577043">
        <w:t xml:space="preserve"> </w:t>
      </w:r>
      <w:r>
        <w:t xml:space="preserve">kan behandles </w:t>
      </w:r>
      <w:r w:rsidRPr="00577043">
        <w:t>inden for rammerne af persondatalovens § 7, stk. 2, nr. 1</w:t>
      </w:r>
      <w:r>
        <w:t>, hvorefter eget samtykke kan udgøre grundlag for behandling af oplysninger om helbredsmæssige forhold</w:t>
      </w:r>
      <w:r w:rsidRPr="00577043">
        <w:t xml:space="preserve">. </w:t>
      </w:r>
      <w:r>
        <w:t xml:space="preserve">Det vil være tilfældet for så vidt angår myndige og habile forsøgspersoner. Et stedfortrædende samtykke kan også være i overensstemmelse med persondatalovens § 7, stk. 2, nr. 1, i det omfang der er det fornødne retsgrundlag at støtte beføjelsen til at meddele stedfortrædende samtykke til videregivelse og databehandling af helbredsoplysninger eller andre fortrolige oplysninger om forsøgspersonen på, herunder forældreansvarsloven og værgemålsloven for mindreårige henholdsvis voksne inhabile under værgemål.  Persondatalovens § 7, stk. 2, nr. 2, indeholder grundlag for databehandling uden samtykke efter persondataloven, i det omfang en forsøgsperson ikke selv enten fysisk eller juridisk er i stand til at give sit samtykke til databehandlingen, og databehandlingen er nødvendig for at beskytte </w:t>
      </w:r>
      <w:r>
        <w:lastRenderedPageBreak/>
        <w:t>forsøgspersonens vitale interesse i, at forskningsprojektet gennemføres forsvarligt. Det vil være tilfældet for øvrige voksne inhabile forsøgspersoner, herunder hvor betingelserne for akutforskning er til stedet. Lovforslagets samtykke bestemmelser yder således i disse situationer forsøgspersonerne en ekstra beskyttelse i forhold til persondataloven.</w:t>
      </w:r>
    </w:p>
    <w:p w14:paraId="33CDCBE9" w14:textId="77777777" w:rsidR="005F4B01" w:rsidRDefault="005F4B01" w:rsidP="00DE042E"/>
    <w:p w14:paraId="79147266" w14:textId="77777777" w:rsidR="00DE042E" w:rsidRPr="00577043" w:rsidRDefault="00DE042E" w:rsidP="00DE042E">
      <w:r w:rsidRPr="00577043">
        <w:t xml:space="preserve">Det forudsættes, at behandlingen </w:t>
      </w:r>
      <w:r w:rsidR="006D5A19">
        <w:t xml:space="preserve">af oplysninger fra patientjournaler m.v. </w:t>
      </w:r>
      <w:r w:rsidRPr="00577043">
        <w:t>ikke skal ske i et videre omfang end i dag. Det er alene præciseret, at oplysningerne også skal kunne tilgås elektronisk.</w:t>
      </w:r>
    </w:p>
    <w:p w14:paraId="2075A6B5" w14:textId="77777777" w:rsidR="00DE042E" w:rsidRDefault="00DE042E" w:rsidP="00DE042E"/>
    <w:p w14:paraId="5C894259" w14:textId="77777777" w:rsidR="00DE042E" w:rsidRDefault="000D51CE" w:rsidP="000D51CE">
      <w:pPr>
        <w:pStyle w:val="Overskrift5"/>
      </w:pPr>
      <w:r>
        <w:t>2.</w:t>
      </w:r>
      <w:r w:rsidR="00B15DD5">
        <w:t>7</w:t>
      </w:r>
      <w:r>
        <w:t>.</w:t>
      </w:r>
      <w:r w:rsidR="00A07987">
        <w:t xml:space="preserve"> </w:t>
      </w:r>
      <w:r w:rsidR="00DE042E">
        <w:t>Udenlandske myndighedes adgang til patientjournaler</w:t>
      </w:r>
    </w:p>
    <w:p w14:paraId="18C32CF2" w14:textId="77777777" w:rsidR="001D6A1D" w:rsidRDefault="001D6A1D" w:rsidP="00DE042E">
      <w:pPr>
        <w:rPr>
          <w:i/>
        </w:rPr>
      </w:pPr>
    </w:p>
    <w:p w14:paraId="12A006E0" w14:textId="77777777" w:rsidR="001D6A1D" w:rsidRPr="003751C6" w:rsidRDefault="00B15DD5" w:rsidP="00DE042E">
      <w:pPr>
        <w:rPr>
          <w:i/>
        </w:rPr>
      </w:pPr>
      <w:r>
        <w:rPr>
          <w:i/>
        </w:rPr>
        <w:t xml:space="preserve">2.7.1. </w:t>
      </w:r>
      <w:r w:rsidR="001D6A1D">
        <w:rPr>
          <w:i/>
        </w:rPr>
        <w:t>Gældende ret</w:t>
      </w:r>
    </w:p>
    <w:p w14:paraId="20347361" w14:textId="77777777" w:rsidR="001D6A1D" w:rsidRPr="00577043" w:rsidRDefault="001D6A1D" w:rsidP="001D6A1D">
      <w:r w:rsidRPr="00577043">
        <w:t xml:space="preserve">Udenlandske lægemiddelmyndigheders </w:t>
      </w:r>
      <w:r>
        <w:t xml:space="preserve">mulighed for </w:t>
      </w:r>
      <w:r w:rsidRPr="00577043">
        <w:t xml:space="preserve">at kvalitetssikre forsøgsdata er ikke i dag reguleret på samme måde som </w:t>
      </w:r>
      <w:r>
        <w:t xml:space="preserve">for </w:t>
      </w:r>
      <w:r w:rsidRPr="00577043">
        <w:t>sponsor og monitor, hvilket nødvendiggør, at forsøgsdeltagere i lægemiddelforsøg i dag skal underskrive en fuldmagtserklæring</w:t>
      </w:r>
      <w:r>
        <w:t>, som giver mulighed for, at investigator kan videregive nødvendige oplysninger fra patientjournalen til udenlandske myndigheder</w:t>
      </w:r>
      <w:r w:rsidRPr="00577043">
        <w:t>. Det vurderes</w:t>
      </w:r>
      <w:r>
        <w:t xml:space="preserve"> imidlertid</w:t>
      </w:r>
      <w:r w:rsidRPr="00577043">
        <w:t xml:space="preserve">, at det ikke i </w:t>
      </w:r>
      <w:r>
        <w:t>overensstemmelse med</w:t>
      </w:r>
      <w:r w:rsidRPr="00577043">
        <w:t xml:space="preserve"> forordningen kan pålægges sponsor at fremsende fuldmagtserklæringer.</w:t>
      </w:r>
      <w:r>
        <w:t xml:space="preserve"> </w:t>
      </w:r>
      <w:r w:rsidRPr="00577043">
        <w:t xml:space="preserve">Der er derfor behov for </w:t>
      </w:r>
      <w:r>
        <w:t xml:space="preserve">på anden måde </w:t>
      </w:r>
      <w:r w:rsidRPr="00577043">
        <w:t>at sikre</w:t>
      </w:r>
      <w:r>
        <w:t xml:space="preserve">, </w:t>
      </w:r>
      <w:r w:rsidRPr="00577043">
        <w:t xml:space="preserve">at udenlandske myndigheder, der </w:t>
      </w:r>
      <w:r w:rsidR="00BE6D2D">
        <w:t xml:space="preserve">i forbindelse med vurderinger af ansøgninger om markedsføringstilladelse i deres land </w:t>
      </w:r>
      <w:r w:rsidRPr="00577043">
        <w:t>skal vurdere, om data er robuste</w:t>
      </w:r>
      <w:r>
        <w:t>, kan få adgang til at se nødvendige oplysninger fra patientjournaler</w:t>
      </w:r>
      <w:r w:rsidRPr="00577043">
        <w:t>.</w:t>
      </w:r>
      <w:r>
        <w:t xml:space="preserve"> </w:t>
      </w:r>
    </w:p>
    <w:p w14:paraId="173B05F7" w14:textId="77777777" w:rsidR="001D6A1D" w:rsidRDefault="001D6A1D" w:rsidP="00DE042E"/>
    <w:p w14:paraId="4E609146" w14:textId="77777777" w:rsidR="00DE042E" w:rsidRPr="004355E3" w:rsidRDefault="00DE042E" w:rsidP="00DE042E">
      <w:pPr>
        <w:rPr>
          <w:lang w:val="en-US"/>
        </w:rPr>
      </w:pPr>
      <w:r>
        <w:t>V</w:t>
      </w:r>
      <w:r w:rsidRPr="00951EC3">
        <w:t>ed udarbejdelsen af forsøgsprotokollen og ved anvendelse af forordning</w:t>
      </w:r>
      <w:r>
        <w:t>en</w:t>
      </w:r>
      <w:r w:rsidRPr="00951EC3">
        <w:t xml:space="preserve"> og forsøgsprotokollen </w:t>
      </w:r>
      <w:r>
        <w:t xml:space="preserve">skal sponsor og investigator tage </w:t>
      </w:r>
      <w:r w:rsidRPr="00951EC3">
        <w:t>passende hensyn til kvalitetsstandarderne og ICH-retningsl</w:t>
      </w:r>
      <w:r>
        <w:t xml:space="preserve">injerne for god klinisk praksis, jf. forordningens </w:t>
      </w:r>
      <w:r w:rsidR="000D660C" w:rsidRPr="00577043">
        <w:rPr>
          <w:rFonts w:eastAsia="Times New Roman" w:cs="Times New Roman"/>
          <w:bCs/>
          <w:color w:val="000000"/>
          <w:lang w:eastAsia="da-DK"/>
        </w:rPr>
        <w:t>art</w:t>
      </w:r>
      <w:r w:rsidR="000D660C">
        <w:rPr>
          <w:rFonts w:eastAsia="Times New Roman" w:cs="Times New Roman"/>
          <w:bCs/>
          <w:color w:val="000000"/>
          <w:lang w:eastAsia="da-DK"/>
        </w:rPr>
        <w:t>ikel</w:t>
      </w:r>
      <w:r>
        <w:t xml:space="preserve"> 47</w:t>
      </w:r>
      <w:r w:rsidRPr="00951EC3">
        <w:t>.</w:t>
      </w:r>
      <w:r>
        <w:t xml:space="preserve"> </w:t>
      </w:r>
      <w:r w:rsidRPr="00577043">
        <w:t>ICH GCP vejledningen er en internationalt anerkendt etisk og videnskabelig kvalitetsstandard</w:t>
      </w:r>
      <w:r>
        <w:t xml:space="preserve">. </w:t>
      </w:r>
      <w:r w:rsidRPr="004355E3">
        <w:rPr>
          <w:lang w:val="en-US"/>
        </w:rPr>
        <w:t xml:space="preserve">Følgende fremgår af ICH GCP pkt. 5.1.2: </w:t>
      </w:r>
    </w:p>
    <w:p w14:paraId="69B1FB46" w14:textId="77777777" w:rsidR="00DE042E" w:rsidRPr="00577043" w:rsidRDefault="00DE042E" w:rsidP="00DE042E">
      <w:pPr>
        <w:rPr>
          <w:lang w:val="en-US"/>
        </w:rPr>
      </w:pPr>
      <w:r w:rsidRPr="00577043">
        <w:rPr>
          <w:lang w:val="en-US"/>
        </w:rPr>
        <w:t>“The sponsor is responsible for securing agreement from all involved parties to ensure direct access (see 1.21) to all trial related sites, source data/documents, and reports for the purpose of monitoring and auditing by the sponsor, and inspection by domestic and foreign regulatory authorities.”</w:t>
      </w:r>
    </w:p>
    <w:p w14:paraId="6C01AC41" w14:textId="77777777" w:rsidR="00DE042E" w:rsidRPr="00577043" w:rsidRDefault="00DE042E" w:rsidP="00DE042E">
      <w:pPr>
        <w:rPr>
          <w:lang w:val="en-US"/>
        </w:rPr>
      </w:pPr>
    </w:p>
    <w:p w14:paraId="173A352C" w14:textId="77777777" w:rsidR="00DE042E" w:rsidRPr="00577043" w:rsidRDefault="00DE042E" w:rsidP="00DE042E">
      <w:r w:rsidRPr="00577043">
        <w:t xml:space="preserve">Direkte adgang (direct access) er </w:t>
      </w:r>
      <w:r>
        <w:t>i</w:t>
      </w:r>
      <w:r w:rsidRPr="00577043">
        <w:t xml:space="preserve"> pkt. 1.21. defineret som: </w:t>
      </w:r>
    </w:p>
    <w:p w14:paraId="2F16A0B1" w14:textId="77777777" w:rsidR="00DE042E" w:rsidRPr="00577043" w:rsidRDefault="00DE042E" w:rsidP="00DE042E">
      <w:pPr>
        <w:rPr>
          <w:lang w:val="en-US"/>
        </w:rPr>
      </w:pPr>
      <w:r w:rsidRPr="00577043">
        <w:rPr>
          <w:lang w:val="en-US"/>
        </w:rPr>
        <w:t>“Permission to examine, analy</w:t>
      </w:r>
      <w:r w:rsidR="00A07987">
        <w:rPr>
          <w:lang w:val="en-US"/>
        </w:rPr>
        <w:t>s</w:t>
      </w:r>
      <w:r w:rsidRPr="00577043">
        <w:rPr>
          <w:lang w:val="en-US"/>
        </w:rPr>
        <w:t>e, verify, and reproduce any records and reports that are important to evaluation of a clinical trial. Any party (e.g., domestic and foreign regulatory authorities, sponsor's monitors and auditors) with direct access should take all reasonable precautions within the constraints of the applicable regulatory requirement(s) to maintain the confidentiality of subjects' identities and sponsor’s proprietary information.”</w:t>
      </w:r>
    </w:p>
    <w:p w14:paraId="121F79A0" w14:textId="77777777" w:rsidR="00DE042E" w:rsidRPr="00AB2EDD" w:rsidRDefault="00DE042E" w:rsidP="00DE042E">
      <w:pPr>
        <w:rPr>
          <w:lang w:val="en-US"/>
        </w:rPr>
      </w:pPr>
    </w:p>
    <w:p w14:paraId="5C89A200" w14:textId="77777777" w:rsidR="00DE042E" w:rsidRPr="00577043" w:rsidRDefault="00DE042E" w:rsidP="00DE042E">
      <w:r>
        <w:t>Det er således afgørende for, at udenlandske myndigheder i forbindelse med godkendelse af lægemiddelansøgninger har et tilstrækkeligt solidt grundlag for at kunne foretage vurderinger af forsøg udført i Danmark. Dette gælder også i forsøg, hvor forsøgspersonerne lovligt er inkluderet uden samtykke, jf. forordningens artikel 35 om forsøg i akutte tilfælde.</w:t>
      </w:r>
    </w:p>
    <w:p w14:paraId="2718C0A7" w14:textId="77777777" w:rsidR="00DE042E" w:rsidRPr="00577043" w:rsidRDefault="00DE042E" w:rsidP="00DE042E"/>
    <w:p w14:paraId="7BA39AA9" w14:textId="77777777" w:rsidR="00BE6D2D" w:rsidRPr="001D6A1D" w:rsidRDefault="00BE6D2D" w:rsidP="00BE6D2D">
      <w:pPr>
        <w:rPr>
          <w:i/>
        </w:rPr>
      </w:pPr>
      <w:r>
        <w:rPr>
          <w:i/>
        </w:rPr>
        <w:t>2.7.2. Forslag</w:t>
      </w:r>
    </w:p>
    <w:p w14:paraId="4E7136FC" w14:textId="77777777" w:rsidR="001D6A1D" w:rsidRPr="00577043" w:rsidRDefault="001D6A1D" w:rsidP="001D6A1D">
      <w:r>
        <w:t xml:space="preserve">Det </w:t>
      </w:r>
      <w:r w:rsidRPr="00577043">
        <w:t>foreslås</w:t>
      </w:r>
      <w:r w:rsidR="003C7E66">
        <w:t xml:space="preserve"> med § 19</w:t>
      </w:r>
      <w:r w:rsidR="0050726D">
        <w:t>, stk. 2</w:t>
      </w:r>
      <w:r>
        <w:t>,</w:t>
      </w:r>
      <w:r w:rsidRPr="00577043">
        <w:t xml:space="preserve"> at udenlandske lægemiddelmyndigheder </w:t>
      </w:r>
      <w:r>
        <w:t>kan foretage opslag i patientjournaler m</w:t>
      </w:r>
      <w:r w:rsidR="00094421">
        <w:t>.</w:t>
      </w:r>
      <w:r>
        <w:t>v.</w:t>
      </w:r>
      <w:r w:rsidR="0050726D">
        <w:t>, herunder elektroniske</w:t>
      </w:r>
      <w:r>
        <w:t xml:space="preserve"> med henblik på at se oplysninger om forsøgspersonens helbredsforhold, øvrige rent private forhold og andre fortrolige oplysninger, som er nødvendige for de udenlandske myndigheders kvalitetskontrol som led i behandlingen af en </w:t>
      </w:r>
      <w:r w:rsidRPr="00577043">
        <w:t>ansøgning om godkendelse af lægemidlet. Der kan være tale om myndigheder i et andet EU land, men også myndigheder i 3. lande, fx FDA i USA (Food and Drug Authority).</w:t>
      </w:r>
    </w:p>
    <w:p w14:paraId="68574978" w14:textId="77777777" w:rsidR="00DE042E" w:rsidRDefault="00DE042E" w:rsidP="00DE042E"/>
    <w:p w14:paraId="77AA7E52" w14:textId="77777777" w:rsidR="00DE042E" w:rsidRDefault="0050726D" w:rsidP="00DE042E">
      <w:pPr>
        <w:rPr>
          <w:rFonts w:eastAsia="Times New Roman" w:cs="Times New Roman"/>
          <w:color w:val="000000"/>
          <w:lang w:eastAsia="da-DK"/>
        </w:rPr>
      </w:pPr>
      <w:r>
        <w:rPr>
          <w:rFonts w:eastAsia="Times New Roman" w:cs="Times New Roman"/>
          <w:color w:val="000000"/>
          <w:lang w:eastAsia="da-DK"/>
        </w:rPr>
        <w:t>De udenlandske myndigheders</w:t>
      </w:r>
      <w:r w:rsidR="00DE042E">
        <w:rPr>
          <w:rFonts w:eastAsia="Times New Roman" w:cs="Times New Roman"/>
          <w:color w:val="000000"/>
          <w:lang w:eastAsia="da-DK"/>
        </w:rPr>
        <w:t xml:space="preserve"> opslag forudsætter, at forsøgspersonen har samtykket hertil. </w:t>
      </w:r>
      <w:r w:rsidR="00DE042E" w:rsidRPr="00577043">
        <w:t xml:space="preserve">Forsøgspersonen vil </w:t>
      </w:r>
      <w:r w:rsidR="00DE042E">
        <w:t xml:space="preserve">således </w:t>
      </w:r>
      <w:r w:rsidR="00DE042E" w:rsidRPr="00577043">
        <w:t>gennem deltager</w:t>
      </w:r>
      <w:r w:rsidR="00DE042E">
        <w:t>informationen før samtykke være orienteret, såfremt</w:t>
      </w:r>
      <w:r w:rsidR="00DE042E" w:rsidRPr="00577043">
        <w:t xml:space="preserve"> samtykket </w:t>
      </w:r>
      <w:r w:rsidR="00DE042E">
        <w:t>til deltagelse i forsøget omfatter samtykke til udenlandske myndigheders adgang til at se oplysninger i patientjournaler m</w:t>
      </w:r>
      <w:r w:rsidR="00094421">
        <w:t>.</w:t>
      </w:r>
      <w:r w:rsidR="00DE042E">
        <w:t>v.</w:t>
      </w:r>
    </w:p>
    <w:p w14:paraId="62BD080C" w14:textId="77777777" w:rsidR="00DE042E" w:rsidRDefault="00DE042E" w:rsidP="00DE042E">
      <w:pPr>
        <w:rPr>
          <w:rFonts w:eastAsia="Times New Roman" w:cs="Times New Roman"/>
          <w:color w:val="000000"/>
          <w:lang w:eastAsia="da-DK"/>
        </w:rPr>
      </w:pPr>
    </w:p>
    <w:p w14:paraId="08EAA2BC" w14:textId="77777777" w:rsidR="00DE042E" w:rsidRDefault="00DE042E" w:rsidP="00DE042E">
      <w:r>
        <w:lastRenderedPageBreak/>
        <w:t xml:space="preserve">Oplysningerne kan efter ministeriets opfattelse videregives til udenlandske myndigheder efter persondatalovens § 7, stk. 2, nr. 4. Hvis der er tale om 3. landes myndigheders adgang til at se nødvendige oplysninger i patientjournaler </w:t>
      </w:r>
      <w:r w:rsidRPr="00577043">
        <w:t xml:space="preserve">har </w:t>
      </w:r>
      <w:r>
        <w:t xml:space="preserve">modellen </w:t>
      </w:r>
      <w:r w:rsidRPr="00577043">
        <w:t xml:space="preserve">efter ministeriets opfattelse hjemmel i persondatalovens § 27, stk. 3, nr. 1. </w:t>
      </w:r>
    </w:p>
    <w:p w14:paraId="2C71A8C4" w14:textId="77777777" w:rsidR="00DE042E" w:rsidRPr="00DE042E" w:rsidRDefault="00DE042E" w:rsidP="00CB2276"/>
    <w:p w14:paraId="1F642FF6" w14:textId="77777777" w:rsidR="00116CFF" w:rsidRPr="00577043" w:rsidRDefault="002628D6" w:rsidP="00116CFF">
      <w:pPr>
        <w:pStyle w:val="Overskrift5"/>
        <w:rPr>
          <w:rFonts w:eastAsia="Times New Roman"/>
          <w:bCs/>
          <w:lang w:eastAsia="da-DK"/>
        </w:rPr>
      </w:pPr>
      <w:r>
        <w:rPr>
          <w:rFonts w:eastAsia="Times New Roman"/>
          <w:lang w:eastAsia="da-DK"/>
        </w:rPr>
        <w:t>2.8</w:t>
      </w:r>
      <w:r w:rsidR="00700562" w:rsidRPr="00577043">
        <w:rPr>
          <w:rFonts w:eastAsia="Times New Roman"/>
          <w:lang w:eastAsia="da-DK"/>
        </w:rPr>
        <w:t>. Nationalt k</w:t>
      </w:r>
      <w:r w:rsidR="00116CFF" w:rsidRPr="00577043">
        <w:rPr>
          <w:rFonts w:eastAsia="Times New Roman"/>
          <w:lang w:eastAsia="da-DK"/>
        </w:rPr>
        <w:t>ontaktpunkt</w:t>
      </w:r>
    </w:p>
    <w:p w14:paraId="6190B227" w14:textId="77777777" w:rsidR="002F560F" w:rsidRPr="00577043" w:rsidRDefault="002F560F" w:rsidP="00116CFF">
      <w:pPr>
        <w:rPr>
          <w:rFonts w:eastAsia="Times New Roman" w:cs="Times New Roman"/>
          <w:color w:val="000000"/>
          <w:lang w:eastAsia="da-DK"/>
        </w:rPr>
      </w:pPr>
    </w:p>
    <w:p w14:paraId="070F6E71" w14:textId="77777777" w:rsidR="002F560F" w:rsidRPr="00577043" w:rsidRDefault="00B15DD5" w:rsidP="002F560F">
      <w:pPr>
        <w:rPr>
          <w:i/>
          <w:lang w:eastAsia="da-DK"/>
        </w:rPr>
      </w:pPr>
      <w:r>
        <w:rPr>
          <w:i/>
          <w:lang w:eastAsia="da-DK"/>
        </w:rPr>
        <w:t>2.8.1</w:t>
      </w:r>
      <w:r w:rsidR="002F560F" w:rsidRPr="00577043">
        <w:rPr>
          <w:i/>
          <w:lang w:eastAsia="da-DK"/>
        </w:rPr>
        <w:t>. Gældende re</w:t>
      </w:r>
      <w:r w:rsidR="008B366A">
        <w:rPr>
          <w:i/>
          <w:lang w:eastAsia="da-DK"/>
        </w:rPr>
        <w:t>t</w:t>
      </w:r>
    </w:p>
    <w:p w14:paraId="760CAA95" w14:textId="77777777" w:rsidR="002F560F" w:rsidRPr="00577043" w:rsidRDefault="002F560F" w:rsidP="00116CFF">
      <w:pPr>
        <w:rPr>
          <w:rFonts w:eastAsia="Times New Roman" w:cs="Times New Roman"/>
          <w:color w:val="000000"/>
          <w:lang w:eastAsia="da-DK"/>
        </w:rPr>
      </w:pPr>
      <w:r w:rsidRPr="00577043">
        <w:rPr>
          <w:rFonts w:eastAsia="Times New Roman" w:cs="Times New Roman"/>
          <w:color w:val="000000"/>
          <w:lang w:eastAsia="da-DK"/>
        </w:rPr>
        <w:t xml:space="preserve">Efter gældende regler </w:t>
      </w:r>
      <w:r w:rsidR="00151F80" w:rsidRPr="00577043">
        <w:rPr>
          <w:rFonts w:eastAsia="Times New Roman" w:cs="Times New Roman"/>
          <w:color w:val="000000"/>
          <w:lang w:eastAsia="da-DK"/>
        </w:rPr>
        <w:t xml:space="preserve">er det </w:t>
      </w:r>
      <w:r w:rsidRPr="00577043">
        <w:rPr>
          <w:rFonts w:eastAsia="Times New Roman" w:cs="Times New Roman"/>
          <w:color w:val="000000"/>
          <w:lang w:eastAsia="da-DK"/>
        </w:rPr>
        <w:t xml:space="preserve">primært </w:t>
      </w:r>
      <w:r w:rsidR="0058651B">
        <w:rPr>
          <w:rFonts w:eastAsia="Times New Roman" w:cs="Times New Roman"/>
          <w:color w:val="000000"/>
          <w:lang w:eastAsia="da-DK"/>
        </w:rPr>
        <w:t>Lægemiddelstyrelsen</w:t>
      </w:r>
      <w:r w:rsidR="00151F80" w:rsidRPr="00577043">
        <w:rPr>
          <w:rFonts w:eastAsia="Times New Roman" w:cs="Times New Roman"/>
          <w:color w:val="000000"/>
          <w:lang w:eastAsia="da-DK"/>
        </w:rPr>
        <w:t>, som varetager</w:t>
      </w:r>
      <w:r w:rsidRPr="00577043">
        <w:rPr>
          <w:rFonts w:eastAsia="Times New Roman" w:cs="Times New Roman"/>
          <w:color w:val="000000"/>
          <w:lang w:eastAsia="da-DK"/>
        </w:rPr>
        <w:t xml:space="preserve"> kontakten til Det Europæiske Lægemiddelagentur, Europa-Kommissionen, </w:t>
      </w:r>
      <w:r w:rsidR="000A6157" w:rsidRPr="00577043">
        <w:rPr>
          <w:rFonts w:eastAsia="Times New Roman" w:cs="Times New Roman"/>
          <w:color w:val="000000"/>
          <w:lang w:eastAsia="da-DK"/>
        </w:rPr>
        <w:t xml:space="preserve">og </w:t>
      </w:r>
      <w:r w:rsidRPr="00577043">
        <w:rPr>
          <w:rFonts w:eastAsia="Times New Roman" w:cs="Times New Roman"/>
          <w:color w:val="000000"/>
          <w:lang w:eastAsia="da-DK"/>
        </w:rPr>
        <w:t xml:space="preserve">lægemiddelmyndigheder i de andre EU/EØS-lande i forbindelse med kliniske forsøg. </w:t>
      </w:r>
      <w:r w:rsidR="0058651B">
        <w:rPr>
          <w:rFonts w:eastAsia="Times New Roman" w:cs="Times New Roman"/>
          <w:color w:val="000000"/>
          <w:lang w:eastAsia="da-DK"/>
        </w:rPr>
        <w:t>Lægemiddelstyrelsen</w:t>
      </w:r>
      <w:r w:rsidRPr="00577043">
        <w:rPr>
          <w:rFonts w:eastAsia="Times New Roman" w:cs="Times New Roman"/>
          <w:color w:val="000000"/>
          <w:lang w:eastAsia="da-DK"/>
        </w:rPr>
        <w:t xml:space="preserve"> skal fx indføre oplysninger om alle kliniske forsøg med lægemidler på mennesker, som styrelsen har truffet afgørelse om, i en europæisk database</w:t>
      </w:r>
      <w:r w:rsidR="00A336B3" w:rsidRPr="00577043">
        <w:rPr>
          <w:rFonts w:eastAsia="Times New Roman" w:cs="Times New Roman"/>
          <w:color w:val="000000"/>
          <w:lang w:eastAsia="da-DK"/>
        </w:rPr>
        <w:t xml:space="preserve">, jf. § 91, stk. 1. Det er også </w:t>
      </w:r>
      <w:r w:rsidR="0058651B">
        <w:rPr>
          <w:rFonts w:eastAsia="Times New Roman" w:cs="Times New Roman"/>
          <w:color w:val="000000"/>
          <w:lang w:eastAsia="da-DK"/>
        </w:rPr>
        <w:t>Lægemiddelstyrelsen</w:t>
      </w:r>
      <w:r w:rsidR="00A336B3" w:rsidRPr="00577043">
        <w:rPr>
          <w:rFonts w:eastAsia="Times New Roman" w:cs="Times New Roman"/>
          <w:color w:val="000000"/>
          <w:lang w:eastAsia="da-DK"/>
        </w:rPr>
        <w:t xml:space="preserve"> som til de samme parter fremlægger et forslag til l</w:t>
      </w:r>
      <w:r w:rsidR="00381F44" w:rsidRPr="00577043">
        <w:rPr>
          <w:rFonts w:eastAsia="Times New Roman" w:cs="Times New Roman"/>
          <w:color w:val="000000"/>
          <w:lang w:eastAsia="da-DK"/>
        </w:rPr>
        <w:t xml:space="preserve">øsning, såfremt en investigator </w:t>
      </w:r>
      <w:r w:rsidR="00A336B3" w:rsidRPr="00577043">
        <w:rPr>
          <w:rFonts w:eastAsia="Times New Roman" w:cs="Times New Roman"/>
          <w:color w:val="000000"/>
          <w:lang w:eastAsia="da-DK"/>
        </w:rPr>
        <w:t>eller en anden part i forsøget ikke opfylder de fastsatte forpligtelser, jf. § 90, stk. 7</w:t>
      </w:r>
      <w:r w:rsidR="003B71F0">
        <w:rPr>
          <w:rFonts w:eastAsia="Times New Roman" w:cs="Times New Roman"/>
          <w:color w:val="000000"/>
          <w:lang w:eastAsia="da-DK"/>
        </w:rPr>
        <w:t>, i lægemiddelloven</w:t>
      </w:r>
      <w:r w:rsidR="00A336B3" w:rsidRPr="00577043">
        <w:rPr>
          <w:rFonts w:eastAsia="Times New Roman" w:cs="Times New Roman"/>
          <w:color w:val="000000"/>
          <w:lang w:eastAsia="da-DK"/>
        </w:rPr>
        <w:t xml:space="preserve">. Ved beslutning om at standse eller forbyde et forsøg med lægemidler til mennesker skal </w:t>
      </w:r>
      <w:r w:rsidR="0058651B">
        <w:rPr>
          <w:rFonts w:eastAsia="Times New Roman" w:cs="Times New Roman"/>
          <w:color w:val="000000"/>
          <w:lang w:eastAsia="da-DK"/>
        </w:rPr>
        <w:t>Lægemiddelstyrelsen</w:t>
      </w:r>
      <w:r w:rsidR="00A336B3" w:rsidRPr="00577043">
        <w:rPr>
          <w:rFonts w:eastAsia="Times New Roman" w:cs="Times New Roman"/>
          <w:color w:val="000000"/>
          <w:lang w:eastAsia="da-DK"/>
        </w:rPr>
        <w:t xml:space="preserve"> ligeledes meddele sin beslutning og begrundelsen herfor til Det Europæiske Lægemiddelagentur, Europa-Kommissionen og lægemiddelmyndigheder i de andre EU/EØS-lande samt den berørte videnskabsetiske komité, jf. § 90, stk. 9. </w:t>
      </w:r>
    </w:p>
    <w:p w14:paraId="5EF9058C" w14:textId="77777777" w:rsidR="00251FBA" w:rsidRPr="00577043" w:rsidRDefault="00251FBA" w:rsidP="00116CFF">
      <w:pPr>
        <w:rPr>
          <w:rFonts w:eastAsia="Times New Roman" w:cs="Times New Roman"/>
          <w:color w:val="000000"/>
          <w:lang w:eastAsia="da-DK"/>
        </w:rPr>
      </w:pPr>
    </w:p>
    <w:p w14:paraId="1256A999" w14:textId="77777777" w:rsidR="002F560F" w:rsidRPr="00577043" w:rsidRDefault="00B15DD5" w:rsidP="00116CFF">
      <w:pPr>
        <w:rPr>
          <w:rFonts w:eastAsia="Times New Roman" w:cs="Times New Roman"/>
          <w:i/>
          <w:color w:val="000000"/>
          <w:lang w:eastAsia="da-DK"/>
        </w:rPr>
      </w:pPr>
      <w:r>
        <w:rPr>
          <w:rFonts w:eastAsia="Times New Roman" w:cs="Times New Roman"/>
          <w:i/>
          <w:color w:val="000000"/>
          <w:lang w:eastAsia="da-DK"/>
        </w:rPr>
        <w:t>2.8.2.</w:t>
      </w:r>
      <w:r w:rsidR="002F560F" w:rsidRPr="00577043">
        <w:rPr>
          <w:rFonts w:eastAsia="Times New Roman" w:cs="Times New Roman"/>
          <w:i/>
          <w:color w:val="000000"/>
          <w:lang w:eastAsia="da-DK"/>
        </w:rPr>
        <w:t>. Forslag</w:t>
      </w:r>
    </w:p>
    <w:p w14:paraId="21B50EFA" w14:textId="77777777" w:rsidR="00116CFF" w:rsidRPr="00577043" w:rsidRDefault="00116CFF" w:rsidP="00116CFF">
      <w:pPr>
        <w:rPr>
          <w:rFonts w:eastAsia="Times New Roman" w:cs="Times New Roman"/>
          <w:color w:val="000000"/>
          <w:lang w:eastAsia="da-DK"/>
        </w:rPr>
      </w:pPr>
      <w:r w:rsidRPr="00577043">
        <w:rPr>
          <w:rFonts w:eastAsia="Times New Roman" w:cs="Times New Roman"/>
          <w:color w:val="000000"/>
          <w:lang w:eastAsia="da-DK"/>
        </w:rPr>
        <w:t xml:space="preserve">Hver medlemsstat skal ifølge forordningens artikel 83 udpege et national kontaktpunkt med henblik på at lette anvendelsen af de procedurer, der er fastsat i forordningens kapitel II og III </w:t>
      </w:r>
      <w:r w:rsidR="00E53C17">
        <w:rPr>
          <w:rFonts w:eastAsia="Times New Roman" w:cs="Times New Roman"/>
          <w:color w:val="000000"/>
          <w:lang w:eastAsia="da-DK"/>
        </w:rPr>
        <w:t>om</w:t>
      </w:r>
      <w:r w:rsidRPr="00577043">
        <w:rPr>
          <w:rFonts w:eastAsia="Times New Roman" w:cs="Times New Roman"/>
          <w:color w:val="000000"/>
          <w:lang w:eastAsia="da-DK"/>
        </w:rPr>
        <w:t xml:space="preserve"> godkendelsesprocedure for henholdsvis et klinisk forsøg og for en væsentlig ændring af et klinisk forsøg. </w:t>
      </w:r>
    </w:p>
    <w:p w14:paraId="3A0C4FBB" w14:textId="77777777" w:rsidR="00116CFF" w:rsidRPr="00577043" w:rsidRDefault="00116CFF" w:rsidP="00116CFF">
      <w:pPr>
        <w:rPr>
          <w:rFonts w:eastAsia="Times New Roman" w:cs="Times New Roman"/>
          <w:color w:val="000000"/>
          <w:lang w:eastAsia="da-DK"/>
        </w:rPr>
      </w:pPr>
    </w:p>
    <w:p w14:paraId="055B9AA5" w14:textId="77777777" w:rsidR="00116CFF" w:rsidRPr="00577043" w:rsidRDefault="001752A1" w:rsidP="00830624">
      <w:pPr>
        <w:rPr>
          <w:rFonts w:eastAsia="Times New Roman" w:cs="Times New Roman"/>
          <w:color w:val="000000"/>
          <w:lang w:eastAsia="da-DK"/>
        </w:rPr>
      </w:pPr>
      <w:r w:rsidRPr="00577043">
        <w:rPr>
          <w:rFonts w:eastAsia="Times New Roman" w:cs="Times New Roman"/>
          <w:color w:val="000000"/>
          <w:lang w:eastAsia="da-DK"/>
        </w:rPr>
        <w:t xml:space="preserve">Det nationale kontaktpunkt skal endvidere </w:t>
      </w:r>
      <w:r w:rsidR="00116CFF" w:rsidRPr="00577043">
        <w:rPr>
          <w:rFonts w:eastAsia="Times New Roman" w:cs="Times New Roman"/>
          <w:color w:val="000000"/>
          <w:lang w:eastAsia="da-DK"/>
        </w:rPr>
        <w:t>indgå i den koordinerende og rådgivende gruppe for kliniske forsøg (Clinical Trials Coordination and Advisory Group – ”CTAG”), jf. forordningens artikel 85. CTAG’s opgaver er at støtte udvekslingen af oplysninger mellem medlemsstaterne og Kommissionen om de erfaringer, der gøres med gennemførelsen af forordningen, at bistå Kommissionen med at støtte medlemsstaternes samarbejde ved vurderingen af de indberettede bivirkninger og de indsendte sikkerhedsrapporter, jf. artikel 42 og 43 i forordningen.</w:t>
      </w:r>
      <w:r w:rsidR="0010066E" w:rsidRPr="00577043">
        <w:rPr>
          <w:rFonts w:eastAsia="Times New Roman" w:cs="Times New Roman"/>
          <w:color w:val="000000"/>
          <w:lang w:eastAsia="da-DK"/>
        </w:rPr>
        <w:t xml:space="preserve"> CTAG skal desuden udarbejde henstillinger om kriterier vedrørende udvælgelsen af en rapporterende medlemsstat.</w:t>
      </w:r>
    </w:p>
    <w:p w14:paraId="26485A06" w14:textId="77777777" w:rsidR="00116CFF" w:rsidRPr="00577043" w:rsidRDefault="00116CFF" w:rsidP="00830624">
      <w:pPr>
        <w:rPr>
          <w:rFonts w:eastAsia="Times New Roman" w:cs="Times New Roman"/>
          <w:color w:val="000000"/>
          <w:lang w:eastAsia="da-DK"/>
        </w:rPr>
      </w:pPr>
    </w:p>
    <w:p w14:paraId="40B266DB" w14:textId="77777777" w:rsidR="003B36F5" w:rsidRDefault="006F6CD9" w:rsidP="00830624">
      <w:pPr>
        <w:rPr>
          <w:rFonts w:eastAsia="Times New Roman" w:cs="Times New Roman"/>
          <w:color w:val="000000"/>
          <w:lang w:eastAsia="da-DK"/>
        </w:rPr>
      </w:pPr>
      <w:r w:rsidRPr="00577043">
        <w:rPr>
          <w:rFonts w:eastAsia="Times New Roman" w:cs="Times New Roman"/>
          <w:color w:val="000000"/>
          <w:lang w:eastAsia="da-DK"/>
        </w:rPr>
        <w:t xml:space="preserve">Det foreslås, at </w:t>
      </w:r>
      <w:r w:rsidR="0058651B">
        <w:rPr>
          <w:rFonts w:eastAsia="Times New Roman" w:cs="Times New Roman"/>
          <w:color w:val="000000"/>
          <w:lang w:eastAsia="da-DK"/>
        </w:rPr>
        <w:t>Lægemiddelstyrelsen</w:t>
      </w:r>
      <w:r w:rsidRPr="00577043">
        <w:rPr>
          <w:rFonts w:eastAsia="Times New Roman" w:cs="Times New Roman"/>
          <w:color w:val="000000"/>
          <w:lang w:eastAsia="da-DK"/>
        </w:rPr>
        <w:t xml:space="preserve"> skal fungere som kontaktpunkt for </w:t>
      </w:r>
      <w:r w:rsidR="00116CFF" w:rsidRPr="00577043">
        <w:rPr>
          <w:rFonts w:eastAsia="Times New Roman" w:cs="Times New Roman"/>
          <w:color w:val="000000"/>
          <w:lang w:eastAsia="da-DK"/>
        </w:rPr>
        <w:t>Danmark</w:t>
      </w:r>
      <w:r w:rsidR="008A1EFC" w:rsidRPr="00577043">
        <w:rPr>
          <w:rFonts w:eastAsia="Times New Roman" w:cs="Times New Roman"/>
          <w:color w:val="000000"/>
          <w:lang w:eastAsia="da-DK"/>
        </w:rPr>
        <w:t>, jf. den foresl</w:t>
      </w:r>
      <w:r w:rsidR="00AE279E" w:rsidRPr="00577043">
        <w:rPr>
          <w:rFonts w:eastAsia="Times New Roman" w:cs="Times New Roman"/>
          <w:color w:val="000000"/>
          <w:lang w:eastAsia="da-DK"/>
        </w:rPr>
        <w:t xml:space="preserve">åede § </w:t>
      </w:r>
      <w:r w:rsidR="00310194">
        <w:rPr>
          <w:rFonts w:eastAsia="Times New Roman" w:cs="Times New Roman"/>
          <w:color w:val="000000"/>
          <w:lang w:eastAsia="da-DK"/>
        </w:rPr>
        <w:t>9</w:t>
      </w:r>
      <w:r w:rsidR="00AE279E" w:rsidRPr="00577043">
        <w:rPr>
          <w:rFonts w:eastAsia="Times New Roman" w:cs="Times New Roman"/>
          <w:color w:val="000000"/>
          <w:lang w:eastAsia="da-DK"/>
        </w:rPr>
        <w:t xml:space="preserve">, stk. </w:t>
      </w:r>
      <w:r w:rsidR="009D2DB1" w:rsidRPr="00577043">
        <w:rPr>
          <w:rFonts w:eastAsia="Times New Roman" w:cs="Times New Roman"/>
          <w:color w:val="000000"/>
          <w:lang w:eastAsia="da-DK"/>
        </w:rPr>
        <w:t>2</w:t>
      </w:r>
      <w:r w:rsidR="00116CFF" w:rsidRPr="00577043">
        <w:rPr>
          <w:rFonts w:eastAsia="Times New Roman" w:cs="Times New Roman"/>
          <w:color w:val="000000"/>
          <w:lang w:eastAsia="da-DK"/>
        </w:rPr>
        <w:t xml:space="preserve">. </w:t>
      </w:r>
      <w:r w:rsidR="001752A1" w:rsidRPr="00577043">
        <w:rPr>
          <w:rFonts w:eastAsia="Times New Roman" w:cs="Times New Roman"/>
          <w:color w:val="000000"/>
          <w:lang w:eastAsia="da-DK"/>
        </w:rPr>
        <w:t xml:space="preserve">Dette indebærer bl.a., at det er </w:t>
      </w:r>
      <w:r w:rsidR="0058651B">
        <w:rPr>
          <w:rFonts w:eastAsia="Times New Roman" w:cs="Times New Roman"/>
          <w:color w:val="000000"/>
          <w:lang w:eastAsia="da-DK"/>
        </w:rPr>
        <w:t>Lægemiddelstyrelsen</w:t>
      </w:r>
      <w:r w:rsidR="001752A1" w:rsidRPr="00577043">
        <w:rPr>
          <w:rFonts w:eastAsia="Times New Roman" w:cs="Times New Roman"/>
          <w:color w:val="000000"/>
          <w:lang w:eastAsia="da-DK"/>
        </w:rPr>
        <w:t>, som via EU-portalen på Danmarks vegne indgiver meddelelser i medfør af forordningens kapitel II og III i forbindelse med godkendelsesproceduren for henholdsvis et klinisk forsøg og for en væsentlig ændring af et klinisk forsøg.</w:t>
      </w:r>
      <w:r w:rsidR="003B36F5" w:rsidRPr="00577043">
        <w:rPr>
          <w:rFonts w:eastAsia="Times New Roman" w:cs="Times New Roman"/>
          <w:color w:val="000000"/>
          <w:lang w:eastAsia="da-DK"/>
        </w:rPr>
        <w:t xml:space="preserve"> Dog kan </w:t>
      </w:r>
      <w:r w:rsidR="0058651B">
        <w:rPr>
          <w:rFonts w:eastAsia="Times New Roman" w:cs="Times New Roman"/>
          <w:color w:val="000000"/>
          <w:lang w:eastAsia="da-DK"/>
        </w:rPr>
        <w:t>Lægemiddelstyrelsen</w:t>
      </w:r>
      <w:r w:rsidR="003B36F5" w:rsidRPr="00577043">
        <w:rPr>
          <w:rFonts w:eastAsia="Times New Roman" w:cs="Times New Roman"/>
          <w:color w:val="000000"/>
          <w:lang w:eastAsia="da-DK"/>
        </w:rPr>
        <w:t xml:space="preserve"> </w:t>
      </w:r>
      <w:r w:rsidR="00D851D3" w:rsidRPr="00577043">
        <w:rPr>
          <w:rFonts w:eastAsia="Times New Roman" w:cs="Times New Roman"/>
          <w:color w:val="000000"/>
          <w:lang w:eastAsia="da-DK"/>
        </w:rPr>
        <w:t>og</w:t>
      </w:r>
      <w:r w:rsidR="003B36F5" w:rsidRPr="00577043">
        <w:rPr>
          <w:rFonts w:eastAsia="Times New Roman" w:cs="Times New Roman"/>
          <w:color w:val="000000"/>
          <w:lang w:eastAsia="da-DK"/>
        </w:rPr>
        <w:t xml:space="preserve"> den videnskabsetiske lægemiddelkomité</w:t>
      </w:r>
      <w:r w:rsidR="00D851D3" w:rsidRPr="00577043">
        <w:rPr>
          <w:rFonts w:eastAsia="Times New Roman" w:cs="Times New Roman"/>
          <w:color w:val="000000"/>
          <w:lang w:eastAsia="da-DK"/>
        </w:rPr>
        <w:t xml:space="preserve"> aftale</w:t>
      </w:r>
      <w:r w:rsidR="003B36F5" w:rsidRPr="00577043">
        <w:rPr>
          <w:rFonts w:eastAsia="Times New Roman" w:cs="Times New Roman"/>
          <w:color w:val="000000"/>
          <w:lang w:eastAsia="da-DK"/>
        </w:rPr>
        <w:t xml:space="preserve">, at komiteen indgiver meddelelser, som vedrører godkendelse af </w:t>
      </w:r>
      <w:r w:rsidR="002831DE" w:rsidRPr="00577043">
        <w:rPr>
          <w:rFonts w:eastAsia="Times New Roman" w:cs="Times New Roman"/>
          <w:color w:val="000000"/>
          <w:lang w:eastAsia="da-DK"/>
        </w:rPr>
        <w:t xml:space="preserve">en ansøgning, som alene vedrører aspekter omfattet af vurderingsrapportens del II, eller </w:t>
      </w:r>
      <w:r w:rsidR="003B36F5" w:rsidRPr="00577043">
        <w:rPr>
          <w:rFonts w:eastAsia="Times New Roman" w:cs="Times New Roman"/>
          <w:color w:val="000000"/>
          <w:lang w:eastAsia="da-DK"/>
        </w:rPr>
        <w:t xml:space="preserve">en ændring af et aspekt, som </w:t>
      </w:r>
      <w:r w:rsidR="001E1DF1">
        <w:rPr>
          <w:rFonts w:eastAsia="Times New Roman" w:cs="Times New Roman"/>
          <w:color w:val="000000"/>
          <w:lang w:eastAsia="da-DK"/>
        </w:rPr>
        <w:t xml:space="preserve">alene </w:t>
      </w:r>
      <w:r w:rsidR="003B36F5" w:rsidRPr="00577043">
        <w:rPr>
          <w:rFonts w:eastAsia="Times New Roman" w:cs="Times New Roman"/>
          <w:color w:val="000000"/>
          <w:lang w:eastAsia="da-DK"/>
        </w:rPr>
        <w:t xml:space="preserve">er omfattet af del II af vurderingsrapporten, jf. forordningens </w:t>
      </w:r>
      <w:r w:rsidR="00AA2FA1" w:rsidRPr="00577043">
        <w:rPr>
          <w:rFonts w:eastAsia="Times New Roman" w:cs="Times New Roman"/>
          <w:bCs/>
          <w:color w:val="000000"/>
          <w:lang w:eastAsia="da-DK"/>
        </w:rPr>
        <w:t>art</w:t>
      </w:r>
      <w:r w:rsidR="00AA2FA1">
        <w:rPr>
          <w:rFonts w:eastAsia="Times New Roman" w:cs="Times New Roman"/>
          <w:bCs/>
          <w:color w:val="000000"/>
          <w:lang w:eastAsia="da-DK"/>
        </w:rPr>
        <w:t>ikel</w:t>
      </w:r>
      <w:r w:rsidR="003B36F5" w:rsidRPr="00577043">
        <w:rPr>
          <w:rFonts w:eastAsia="Times New Roman" w:cs="Times New Roman"/>
          <w:color w:val="000000"/>
          <w:lang w:eastAsia="da-DK"/>
        </w:rPr>
        <w:t xml:space="preserve"> 20</w:t>
      </w:r>
      <w:r w:rsidR="00D851D3" w:rsidRPr="00577043">
        <w:rPr>
          <w:rFonts w:eastAsia="Times New Roman" w:cs="Times New Roman"/>
          <w:color w:val="000000"/>
          <w:lang w:eastAsia="da-DK"/>
        </w:rPr>
        <w:t xml:space="preserve"> og den foreslåede § </w:t>
      </w:r>
      <w:r w:rsidR="00310194">
        <w:rPr>
          <w:rFonts w:eastAsia="Times New Roman" w:cs="Times New Roman"/>
          <w:color w:val="000000"/>
          <w:lang w:eastAsia="da-DK"/>
        </w:rPr>
        <w:t>9</w:t>
      </w:r>
      <w:r w:rsidR="00D851D3" w:rsidRPr="00577043">
        <w:rPr>
          <w:rFonts w:eastAsia="Times New Roman" w:cs="Times New Roman"/>
          <w:color w:val="000000"/>
          <w:lang w:eastAsia="da-DK"/>
        </w:rPr>
        <w:t xml:space="preserve">, stk. 1 </w:t>
      </w:r>
      <w:r w:rsidR="00E53C17">
        <w:rPr>
          <w:rFonts w:eastAsia="Times New Roman" w:cs="Times New Roman"/>
          <w:color w:val="000000"/>
          <w:lang w:eastAsia="da-DK"/>
        </w:rPr>
        <w:t>om</w:t>
      </w:r>
      <w:r w:rsidR="00D851D3" w:rsidRPr="00577043">
        <w:rPr>
          <w:rFonts w:eastAsia="Times New Roman" w:cs="Times New Roman"/>
          <w:color w:val="000000"/>
          <w:lang w:eastAsia="da-DK"/>
        </w:rPr>
        <w:t xml:space="preserve"> koordinering mellem </w:t>
      </w:r>
      <w:r w:rsidR="0058651B">
        <w:rPr>
          <w:rFonts w:eastAsia="Times New Roman" w:cs="Times New Roman"/>
          <w:color w:val="000000"/>
          <w:lang w:eastAsia="da-DK"/>
        </w:rPr>
        <w:t>Lægemiddelstyrelsen</w:t>
      </w:r>
      <w:r w:rsidR="00D851D3" w:rsidRPr="00577043">
        <w:rPr>
          <w:rFonts w:eastAsia="Times New Roman" w:cs="Times New Roman"/>
          <w:color w:val="000000"/>
          <w:lang w:eastAsia="da-DK"/>
        </w:rPr>
        <w:t xml:space="preserve"> og komiteen</w:t>
      </w:r>
      <w:r w:rsidR="003B36F5" w:rsidRPr="00577043">
        <w:rPr>
          <w:rFonts w:eastAsia="Times New Roman" w:cs="Times New Roman"/>
          <w:color w:val="000000"/>
          <w:lang w:eastAsia="da-DK"/>
        </w:rPr>
        <w:t>.</w:t>
      </w:r>
    </w:p>
    <w:p w14:paraId="1720AEC3" w14:textId="77777777" w:rsidR="00B2348C" w:rsidRDefault="00B2348C" w:rsidP="00830624">
      <w:pPr>
        <w:rPr>
          <w:rFonts w:eastAsia="Times New Roman" w:cs="Times New Roman"/>
          <w:color w:val="000000"/>
          <w:lang w:eastAsia="da-DK"/>
        </w:rPr>
      </w:pPr>
    </w:p>
    <w:p w14:paraId="5BDD2217" w14:textId="77777777" w:rsidR="00B2348C" w:rsidRPr="00577043" w:rsidRDefault="00B2348C" w:rsidP="00830624">
      <w:pPr>
        <w:rPr>
          <w:rFonts w:eastAsia="Times New Roman" w:cs="Times New Roman"/>
          <w:color w:val="000000"/>
          <w:lang w:eastAsia="da-DK"/>
        </w:rPr>
      </w:pPr>
    </w:p>
    <w:p w14:paraId="4D71AF7C" w14:textId="77777777" w:rsidR="00304709" w:rsidRPr="00577043" w:rsidRDefault="00116CFF" w:rsidP="009B730C">
      <w:pPr>
        <w:pStyle w:val="Overskrift5"/>
        <w:keepNext w:val="0"/>
        <w:keepLines w:val="0"/>
        <w:rPr>
          <w:rFonts w:eastAsia="Times New Roman"/>
          <w:lang w:eastAsia="da-DK"/>
        </w:rPr>
      </w:pPr>
      <w:r w:rsidRPr="00577043">
        <w:rPr>
          <w:rFonts w:eastAsia="Times New Roman"/>
          <w:lang w:eastAsia="da-DK"/>
        </w:rPr>
        <w:t>2.</w:t>
      </w:r>
      <w:r w:rsidR="00B15DD5">
        <w:rPr>
          <w:rFonts w:eastAsia="Times New Roman"/>
          <w:lang w:eastAsia="da-DK"/>
        </w:rPr>
        <w:t>9</w:t>
      </w:r>
      <w:r w:rsidR="00925EE9" w:rsidRPr="00577043">
        <w:rPr>
          <w:rFonts w:eastAsia="Times New Roman"/>
          <w:lang w:eastAsia="da-DK"/>
        </w:rPr>
        <w:t xml:space="preserve">. </w:t>
      </w:r>
      <w:r w:rsidR="00CE6BD0" w:rsidRPr="00577043">
        <w:rPr>
          <w:rFonts w:eastAsia="Times New Roman"/>
          <w:lang w:eastAsia="da-DK"/>
        </w:rPr>
        <w:t>Stedfo</w:t>
      </w:r>
      <w:r w:rsidR="002A1528" w:rsidRPr="00577043">
        <w:rPr>
          <w:rFonts w:eastAsia="Times New Roman"/>
          <w:lang w:eastAsia="da-DK"/>
        </w:rPr>
        <w:t>r</w:t>
      </w:r>
      <w:r w:rsidR="00CE6BD0" w:rsidRPr="00577043">
        <w:rPr>
          <w:rFonts w:eastAsia="Times New Roman"/>
          <w:lang w:eastAsia="da-DK"/>
        </w:rPr>
        <w:t>trædende</w:t>
      </w:r>
      <w:r w:rsidR="00925EE9" w:rsidRPr="00577043">
        <w:rPr>
          <w:rFonts w:eastAsia="Times New Roman"/>
          <w:lang w:eastAsia="da-DK"/>
        </w:rPr>
        <w:t xml:space="preserve"> samtykke</w:t>
      </w:r>
      <w:r w:rsidR="00442FD0" w:rsidRPr="00577043">
        <w:rPr>
          <w:rFonts w:eastAsia="Times New Roman"/>
          <w:lang w:eastAsia="da-DK"/>
        </w:rPr>
        <w:t xml:space="preserve"> (retlig repræsentant)</w:t>
      </w:r>
      <w:r w:rsidR="00917D97" w:rsidRPr="00577043">
        <w:rPr>
          <w:rFonts w:eastAsia="Times New Roman"/>
          <w:lang w:eastAsia="da-DK"/>
        </w:rPr>
        <w:t xml:space="preserve"> </w:t>
      </w:r>
    </w:p>
    <w:p w14:paraId="1D660DCD" w14:textId="77777777" w:rsidR="00251FBA" w:rsidRPr="00577043" w:rsidRDefault="00251FBA" w:rsidP="009B730C">
      <w:pPr>
        <w:pStyle w:val="Overskrift6"/>
        <w:keepNext w:val="0"/>
        <w:keepLines w:val="0"/>
        <w:rPr>
          <w:rFonts w:eastAsia="Times New Roman"/>
          <w:lang w:eastAsia="da-DK"/>
        </w:rPr>
      </w:pPr>
      <w:r w:rsidRPr="00577043">
        <w:rPr>
          <w:rFonts w:eastAsia="Times New Roman"/>
          <w:lang w:eastAsia="da-DK"/>
        </w:rPr>
        <w:t>2.</w:t>
      </w:r>
      <w:r w:rsidR="00B15DD5">
        <w:rPr>
          <w:rFonts w:eastAsia="Times New Roman"/>
          <w:lang w:eastAsia="da-DK"/>
        </w:rPr>
        <w:t>9</w:t>
      </w:r>
      <w:r w:rsidRPr="00577043">
        <w:rPr>
          <w:rFonts w:eastAsia="Times New Roman"/>
          <w:lang w:eastAsia="da-DK"/>
        </w:rPr>
        <w:t xml:space="preserve">.1. </w:t>
      </w:r>
      <w:r w:rsidRPr="00BB69C0">
        <w:t>Gældende</w:t>
      </w:r>
      <w:r w:rsidRPr="00577043">
        <w:rPr>
          <w:rFonts w:eastAsia="Times New Roman"/>
          <w:lang w:eastAsia="da-DK"/>
        </w:rPr>
        <w:t xml:space="preserve"> re</w:t>
      </w:r>
      <w:r w:rsidR="008B366A">
        <w:rPr>
          <w:rFonts w:eastAsia="Times New Roman"/>
          <w:lang w:eastAsia="da-DK"/>
        </w:rPr>
        <w:t>t</w:t>
      </w:r>
    </w:p>
    <w:p w14:paraId="6F2C3E92" w14:textId="77777777" w:rsidR="003226EE" w:rsidRDefault="001258D7" w:rsidP="009B730C">
      <w:pPr>
        <w:rPr>
          <w:rFonts w:eastAsia="Times New Roman" w:cs="Times New Roman"/>
          <w:color w:val="000000"/>
          <w:lang w:eastAsia="da-DK"/>
        </w:rPr>
      </w:pPr>
      <w:r>
        <w:rPr>
          <w:rFonts w:eastAsia="Times New Roman" w:cs="Times New Roman"/>
          <w:color w:val="000000"/>
          <w:lang w:eastAsia="da-DK"/>
        </w:rPr>
        <w:t xml:space="preserve">I særlige forsøgssituationer kan en nærmere fastsat personkreds ifølge komitéloven gives stedfortrædende samtykke til deltagelse i forsøget på forsøgspersonens vegne, jf. nærmere nedenfor. </w:t>
      </w:r>
      <w:r w:rsidR="00504D05">
        <w:rPr>
          <w:rFonts w:eastAsia="Times New Roman" w:cs="Times New Roman"/>
          <w:color w:val="000000"/>
          <w:lang w:eastAsia="da-DK"/>
        </w:rPr>
        <w:t xml:space="preserve"> De gældende regler herom er fastsat i overensstemmelse med GCP-direktivet. </w:t>
      </w:r>
    </w:p>
    <w:p w14:paraId="0F6963B9" w14:textId="77777777" w:rsidR="003226EE" w:rsidRDefault="003226EE" w:rsidP="009B730C">
      <w:pPr>
        <w:rPr>
          <w:rFonts w:eastAsia="Times New Roman" w:cs="Times New Roman"/>
          <w:color w:val="000000"/>
          <w:lang w:eastAsia="da-DK"/>
        </w:rPr>
      </w:pPr>
    </w:p>
    <w:p w14:paraId="59236D46" w14:textId="77777777" w:rsidR="0022100B" w:rsidRPr="00577043" w:rsidRDefault="0059442C" w:rsidP="009B730C">
      <w:pPr>
        <w:pStyle w:val="Overskrift7"/>
        <w:keepNext w:val="0"/>
        <w:keepLines w:val="0"/>
        <w:rPr>
          <w:rFonts w:eastAsia="Times New Roman"/>
          <w:lang w:eastAsia="da-DK"/>
        </w:rPr>
      </w:pPr>
      <w:r w:rsidRPr="00577043">
        <w:rPr>
          <w:rFonts w:eastAsia="Times New Roman"/>
          <w:lang w:eastAsia="da-DK"/>
        </w:rPr>
        <w:t>2.</w:t>
      </w:r>
      <w:r w:rsidR="00B15DD5">
        <w:rPr>
          <w:rFonts w:eastAsia="Times New Roman"/>
          <w:lang w:eastAsia="da-DK"/>
        </w:rPr>
        <w:t>9</w:t>
      </w:r>
      <w:r w:rsidRPr="00577043">
        <w:rPr>
          <w:rFonts w:eastAsia="Times New Roman"/>
          <w:lang w:eastAsia="da-DK"/>
        </w:rPr>
        <w:t>.1.1</w:t>
      </w:r>
      <w:r w:rsidR="0022100B" w:rsidRPr="00577043">
        <w:rPr>
          <w:rFonts w:eastAsia="Times New Roman"/>
          <w:lang w:eastAsia="da-DK"/>
        </w:rPr>
        <w:t>. Mindreårige</w:t>
      </w:r>
    </w:p>
    <w:p w14:paraId="3F23F1B1" w14:textId="77777777" w:rsidR="00F71418" w:rsidRPr="00577043" w:rsidRDefault="00F71418" w:rsidP="009B730C">
      <w:pPr>
        <w:rPr>
          <w:rFonts w:eastAsia="Times New Roman" w:cs="Times New Roman"/>
          <w:color w:val="000000"/>
          <w:lang w:eastAsia="da-DK"/>
        </w:rPr>
      </w:pPr>
      <w:r w:rsidRPr="00577043">
        <w:rPr>
          <w:rFonts w:eastAsia="Times New Roman" w:cs="Times New Roman"/>
          <w:color w:val="000000"/>
          <w:lang w:eastAsia="da-DK"/>
        </w:rPr>
        <w:t xml:space="preserve">Stedfortrædende samtykke på vegne af mindreårige forsøgspersoner skal ifølge komitélovens § 4, stk. 1, afgives af forældremyndighedens indehaver. Ifølge komitéloven kan en komité </w:t>
      </w:r>
      <w:r w:rsidR="004D5284" w:rsidRPr="00577043">
        <w:rPr>
          <w:rFonts w:eastAsia="Times New Roman" w:cs="Times New Roman"/>
          <w:color w:val="000000"/>
          <w:lang w:eastAsia="da-DK"/>
        </w:rPr>
        <w:t xml:space="preserve">dog </w:t>
      </w:r>
      <w:r w:rsidRPr="00577043">
        <w:rPr>
          <w:rFonts w:eastAsia="Times New Roman" w:cs="Times New Roman"/>
          <w:color w:val="000000"/>
          <w:lang w:eastAsia="da-DK"/>
        </w:rPr>
        <w:t xml:space="preserve">dispensere fra kravet om stedfortrædende samtykke fra forældremyndigheden indehaver for en person, der er fyldt 15 år, men ikke er </w:t>
      </w:r>
      <w:r w:rsidRPr="00577043">
        <w:rPr>
          <w:rFonts w:eastAsia="Times New Roman" w:cs="Times New Roman"/>
          <w:color w:val="000000"/>
          <w:lang w:eastAsia="da-DK"/>
        </w:rPr>
        <w:lastRenderedPageBreak/>
        <w:t>myndig. Beslutningen om dispensation skal træffes under hensyntagen til forskningsprojektets karakter, risiko og belastning, og forældremyndighedens indehaver skal have samme information som den mindreårige og inddrages i den mindreåriges stillingtagen.</w:t>
      </w:r>
    </w:p>
    <w:p w14:paraId="60FBF648" w14:textId="77777777" w:rsidR="00251FBA" w:rsidRPr="00577043" w:rsidRDefault="00251FBA" w:rsidP="004C2289">
      <w:pPr>
        <w:rPr>
          <w:rFonts w:eastAsia="Times New Roman" w:cs="Times New Roman"/>
          <w:color w:val="000000"/>
          <w:lang w:eastAsia="da-DK"/>
        </w:rPr>
      </w:pPr>
    </w:p>
    <w:p w14:paraId="3D23FFF9" w14:textId="77777777" w:rsidR="0059442C" w:rsidRPr="00577043" w:rsidRDefault="0059442C" w:rsidP="001F6614">
      <w:pPr>
        <w:pStyle w:val="Overskrift7"/>
        <w:rPr>
          <w:rFonts w:eastAsia="Times New Roman"/>
          <w:lang w:eastAsia="da-DK"/>
        </w:rPr>
      </w:pPr>
      <w:r w:rsidRPr="00577043">
        <w:rPr>
          <w:rFonts w:eastAsia="Times New Roman"/>
          <w:lang w:eastAsia="da-DK"/>
        </w:rPr>
        <w:t>2.</w:t>
      </w:r>
      <w:r w:rsidR="00B15DD5">
        <w:rPr>
          <w:rFonts w:eastAsia="Times New Roman"/>
          <w:lang w:eastAsia="da-DK"/>
        </w:rPr>
        <w:t>9</w:t>
      </w:r>
      <w:r w:rsidRPr="00577043">
        <w:rPr>
          <w:rFonts w:eastAsia="Times New Roman"/>
          <w:lang w:eastAsia="da-DK"/>
        </w:rPr>
        <w:t>.1.2. Personer under værgemål</w:t>
      </w:r>
    </w:p>
    <w:p w14:paraId="291FC8CD" w14:textId="77777777" w:rsidR="0059442C" w:rsidRPr="00577043" w:rsidRDefault="004D5284" w:rsidP="0059442C">
      <w:pPr>
        <w:rPr>
          <w:rFonts w:eastAsia="Times New Roman" w:cs="Times New Roman"/>
          <w:color w:val="000000"/>
          <w:lang w:eastAsia="da-DK"/>
        </w:rPr>
      </w:pPr>
      <w:r w:rsidRPr="00577043">
        <w:rPr>
          <w:rFonts w:eastAsia="Times New Roman" w:cs="Times New Roman"/>
          <w:color w:val="000000"/>
          <w:lang w:eastAsia="da-DK"/>
        </w:rPr>
        <w:t>Ifølge</w:t>
      </w:r>
      <w:r w:rsidR="0059442C" w:rsidRPr="00577043">
        <w:rPr>
          <w:rFonts w:eastAsia="Times New Roman" w:cs="Times New Roman"/>
          <w:color w:val="000000"/>
          <w:lang w:eastAsia="da-DK"/>
        </w:rPr>
        <w:t xml:space="preserve"> komitélovens § 4, stk. 2, </w:t>
      </w:r>
      <w:r w:rsidRPr="00577043">
        <w:rPr>
          <w:rFonts w:eastAsia="Times New Roman" w:cs="Times New Roman"/>
          <w:color w:val="000000"/>
          <w:lang w:eastAsia="da-DK"/>
        </w:rPr>
        <w:t>skal</w:t>
      </w:r>
      <w:r w:rsidR="0059442C" w:rsidRPr="00577043">
        <w:rPr>
          <w:rFonts w:eastAsia="Times New Roman" w:cs="Times New Roman"/>
          <w:color w:val="000000"/>
          <w:lang w:eastAsia="da-DK"/>
        </w:rPr>
        <w:t xml:space="preserve"> et stedfortrædende samtykke på vegne af forsøgspersoner under værgemål, der omfatter beføjelse til at meddele samtykke til deltagelse i sundhedsvidenskabelige forskningsprojekter, jf. værgemålslovens § 5, stk. 1, gives af værgen.</w:t>
      </w:r>
    </w:p>
    <w:p w14:paraId="4367360A" w14:textId="77777777" w:rsidR="003213CF" w:rsidRPr="00577043" w:rsidRDefault="003213CF" w:rsidP="0059442C">
      <w:pPr>
        <w:rPr>
          <w:rFonts w:eastAsia="Times New Roman" w:cs="Times New Roman"/>
          <w:color w:val="000000"/>
          <w:lang w:eastAsia="da-DK"/>
        </w:rPr>
      </w:pPr>
    </w:p>
    <w:p w14:paraId="6991081B" w14:textId="77777777" w:rsidR="0059442C" w:rsidRPr="00577043" w:rsidRDefault="0022100B" w:rsidP="00D14BED">
      <w:pPr>
        <w:pStyle w:val="Overskrift7"/>
        <w:rPr>
          <w:rFonts w:eastAsia="Times New Roman"/>
          <w:lang w:eastAsia="da-DK"/>
        </w:rPr>
      </w:pPr>
      <w:r w:rsidRPr="00577043">
        <w:rPr>
          <w:rFonts w:eastAsia="Times New Roman"/>
          <w:lang w:eastAsia="da-DK"/>
        </w:rPr>
        <w:t>2.</w:t>
      </w:r>
      <w:r w:rsidR="00B15DD5">
        <w:rPr>
          <w:rFonts w:eastAsia="Times New Roman"/>
          <w:lang w:eastAsia="da-DK"/>
        </w:rPr>
        <w:t>9</w:t>
      </w:r>
      <w:r w:rsidRPr="00577043">
        <w:rPr>
          <w:rFonts w:eastAsia="Times New Roman"/>
          <w:lang w:eastAsia="da-DK"/>
        </w:rPr>
        <w:t xml:space="preserve">.1.3. </w:t>
      </w:r>
      <w:r w:rsidR="009605D5" w:rsidRPr="00577043">
        <w:rPr>
          <w:rFonts w:eastAsia="Times New Roman"/>
          <w:lang w:eastAsia="da-DK"/>
        </w:rPr>
        <w:t>Øvrige f</w:t>
      </w:r>
      <w:r w:rsidR="003213CF" w:rsidRPr="00577043">
        <w:rPr>
          <w:rFonts w:eastAsia="Times New Roman"/>
          <w:lang w:eastAsia="da-DK"/>
        </w:rPr>
        <w:t>orsøgspersoner uden handleevne</w:t>
      </w:r>
      <w:r w:rsidR="0093475A" w:rsidRPr="00577043">
        <w:rPr>
          <w:rFonts w:eastAsia="Times New Roman"/>
          <w:lang w:eastAsia="da-DK"/>
        </w:rPr>
        <w:t>(øvrige voksne inhabile)</w:t>
      </w:r>
    </w:p>
    <w:p w14:paraId="7BF0D1EA" w14:textId="77777777" w:rsidR="0059442C" w:rsidRPr="00577043" w:rsidRDefault="0059442C" w:rsidP="0059442C">
      <w:pPr>
        <w:keepNext/>
        <w:keepLines/>
        <w:rPr>
          <w:rFonts w:eastAsia="Times New Roman" w:cs="Times New Roman"/>
          <w:color w:val="000000"/>
          <w:lang w:eastAsia="da-DK"/>
        </w:rPr>
      </w:pPr>
      <w:r w:rsidRPr="00577043">
        <w:rPr>
          <w:rFonts w:eastAsia="Times New Roman" w:cs="Times New Roman"/>
          <w:color w:val="000000"/>
          <w:lang w:eastAsia="da-DK"/>
        </w:rPr>
        <w:t>Stedfortrædende samtykke på vegne af</w:t>
      </w:r>
      <w:r w:rsidR="003213CF" w:rsidRPr="00577043">
        <w:rPr>
          <w:rFonts w:eastAsia="Times New Roman" w:cs="Times New Roman"/>
          <w:color w:val="000000"/>
          <w:lang w:eastAsia="da-DK"/>
        </w:rPr>
        <w:t xml:space="preserve"> forsøgspersoner uden handleevne</w:t>
      </w:r>
      <w:r w:rsidR="00B309D4" w:rsidRPr="00577043">
        <w:rPr>
          <w:rFonts w:eastAsia="Times New Roman" w:cs="Times New Roman"/>
          <w:color w:val="000000"/>
          <w:lang w:eastAsia="da-DK"/>
        </w:rPr>
        <w:t xml:space="preserve"> (i komitéloven benævnt ”øvrige voksne inhabile forsøgspersoner</w:t>
      </w:r>
      <w:r w:rsidR="003213CF" w:rsidRPr="00577043">
        <w:rPr>
          <w:rFonts w:eastAsia="Times New Roman" w:cs="Times New Roman"/>
          <w:color w:val="000000"/>
          <w:lang w:eastAsia="da-DK"/>
        </w:rPr>
        <w:t xml:space="preserve">”) </w:t>
      </w:r>
      <w:r w:rsidRPr="00577043">
        <w:rPr>
          <w:rFonts w:eastAsia="Times New Roman" w:cs="Times New Roman"/>
          <w:color w:val="000000"/>
          <w:lang w:eastAsia="da-DK"/>
        </w:rPr>
        <w:t xml:space="preserve">skal gives af den nærmeste pårørende og den praktiserende læge eller i tilfælde af den praktiserende læges forfald </w:t>
      </w:r>
      <w:r w:rsidR="0058651B">
        <w:rPr>
          <w:rFonts w:eastAsia="Times New Roman" w:cs="Times New Roman"/>
          <w:color w:val="000000"/>
          <w:lang w:eastAsia="da-DK"/>
        </w:rPr>
        <w:t>Lægemiddelstyrelsen</w:t>
      </w:r>
      <w:r w:rsidRPr="00577043">
        <w:rPr>
          <w:rFonts w:eastAsia="Times New Roman" w:cs="Times New Roman"/>
          <w:color w:val="000000"/>
          <w:lang w:eastAsia="da-DK"/>
        </w:rPr>
        <w:t xml:space="preserve">, jf. § 4, stk. </w:t>
      </w:r>
      <w:r w:rsidR="00D30ABF" w:rsidRPr="00577043">
        <w:rPr>
          <w:rFonts w:eastAsia="Times New Roman" w:cs="Times New Roman"/>
          <w:color w:val="000000"/>
          <w:lang w:eastAsia="da-DK"/>
        </w:rPr>
        <w:t>3</w:t>
      </w:r>
      <w:r w:rsidRPr="00577043">
        <w:rPr>
          <w:rFonts w:eastAsia="Times New Roman" w:cs="Times New Roman"/>
          <w:color w:val="000000"/>
          <w:lang w:eastAsia="da-DK"/>
        </w:rPr>
        <w:t>, i komitéloven.</w:t>
      </w:r>
    </w:p>
    <w:p w14:paraId="60B2039A" w14:textId="77777777" w:rsidR="0059442C" w:rsidRPr="00577043" w:rsidRDefault="0059442C" w:rsidP="0059442C">
      <w:pPr>
        <w:keepNext/>
        <w:keepLines/>
        <w:rPr>
          <w:rFonts w:eastAsia="Times New Roman" w:cs="Times New Roman"/>
          <w:color w:val="000000"/>
          <w:lang w:eastAsia="da-DK"/>
        </w:rPr>
      </w:pPr>
    </w:p>
    <w:p w14:paraId="2841260E" w14:textId="77777777" w:rsidR="0059442C" w:rsidRPr="00577043" w:rsidRDefault="0059442C" w:rsidP="0059442C">
      <w:pPr>
        <w:keepNext/>
        <w:keepLines/>
        <w:rPr>
          <w:rFonts w:eastAsia="Times New Roman" w:cs="Times New Roman"/>
          <w:color w:val="000000"/>
          <w:lang w:eastAsia="da-DK"/>
        </w:rPr>
      </w:pPr>
      <w:r w:rsidRPr="00577043">
        <w:rPr>
          <w:rFonts w:eastAsia="Times New Roman" w:cs="Times New Roman"/>
          <w:color w:val="000000"/>
          <w:lang w:eastAsia="da-DK"/>
        </w:rPr>
        <w:t>Vil den alment praktiserende læge ikke</w:t>
      </w:r>
      <w:r w:rsidR="001724FB" w:rsidRPr="00577043">
        <w:rPr>
          <w:rFonts w:eastAsia="Times New Roman" w:cs="Times New Roman"/>
          <w:color w:val="000000"/>
          <w:lang w:eastAsia="da-DK"/>
        </w:rPr>
        <w:t xml:space="preserve"> tage stilling til forsøget fortolkes det som en afvisning, og den pågældende person kan ikke deltage i</w:t>
      </w:r>
      <w:r w:rsidR="005D7121" w:rsidRPr="00577043">
        <w:rPr>
          <w:rFonts w:eastAsia="Times New Roman" w:cs="Times New Roman"/>
          <w:color w:val="000000"/>
          <w:lang w:eastAsia="da-DK"/>
        </w:rPr>
        <w:t xml:space="preserve"> f</w:t>
      </w:r>
      <w:r w:rsidR="001724FB" w:rsidRPr="00577043">
        <w:rPr>
          <w:rFonts w:eastAsia="Times New Roman" w:cs="Times New Roman"/>
          <w:color w:val="000000"/>
          <w:lang w:eastAsia="da-DK"/>
        </w:rPr>
        <w:t>orsøge</w:t>
      </w:r>
      <w:r w:rsidR="005D7121" w:rsidRPr="00577043">
        <w:rPr>
          <w:rFonts w:eastAsia="Times New Roman" w:cs="Times New Roman"/>
          <w:color w:val="000000"/>
          <w:lang w:eastAsia="da-DK"/>
        </w:rPr>
        <w:t>t</w:t>
      </w:r>
      <w:r w:rsidR="001724FB" w:rsidRPr="00577043">
        <w:rPr>
          <w:rFonts w:eastAsia="Times New Roman" w:cs="Times New Roman"/>
          <w:color w:val="000000"/>
          <w:lang w:eastAsia="da-DK"/>
        </w:rPr>
        <w:t>.</w:t>
      </w:r>
      <w:r w:rsidR="00BD7D03" w:rsidRPr="00577043">
        <w:rPr>
          <w:rFonts w:eastAsia="Times New Roman" w:cs="Times New Roman"/>
          <w:color w:val="000000"/>
          <w:lang w:eastAsia="da-DK"/>
        </w:rPr>
        <w:t xml:space="preserve"> </w:t>
      </w:r>
      <w:r w:rsidR="006C4960" w:rsidRPr="00577043">
        <w:rPr>
          <w:rFonts w:eastAsia="Times New Roman" w:cs="Times New Roman"/>
          <w:color w:val="000000"/>
          <w:lang w:eastAsia="da-DK"/>
        </w:rPr>
        <w:t>DNVK har oplyst, at komiteen har modtaget henvendelser, som påpeger, at d</w:t>
      </w:r>
      <w:r w:rsidR="00BD7D03" w:rsidRPr="00577043">
        <w:rPr>
          <w:rFonts w:eastAsia="Times New Roman" w:cs="Times New Roman"/>
          <w:color w:val="000000"/>
          <w:lang w:eastAsia="da-DK"/>
        </w:rPr>
        <w:t>et kan være vanskeligt for alment praktiserende læger</w:t>
      </w:r>
      <w:r w:rsidR="00D30ABF" w:rsidRPr="00577043">
        <w:rPr>
          <w:rFonts w:eastAsia="Times New Roman" w:cs="Times New Roman"/>
          <w:color w:val="000000"/>
          <w:lang w:eastAsia="da-DK"/>
        </w:rPr>
        <w:t xml:space="preserve"> </w:t>
      </w:r>
      <w:r w:rsidR="006C4960" w:rsidRPr="00577043">
        <w:rPr>
          <w:rFonts w:eastAsia="Times New Roman" w:cs="Times New Roman"/>
          <w:color w:val="000000"/>
          <w:lang w:eastAsia="da-DK"/>
        </w:rPr>
        <w:t xml:space="preserve">at tage stilling til </w:t>
      </w:r>
      <w:r w:rsidR="00D30ABF" w:rsidRPr="00577043">
        <w:rPr>
          <w:rFonts w:eastAsia="Times New Roman" w:cs="Times New Roman"/>
          <w:color w:val="000000"/>
          <w:lang w:eastAsia="da-DK"/>
        </w:rPr>
        <w:t>en person</w:t>
      </w:r>
      <w:r w:rsidR="00D6095C" w:rsidRPr="00577043">
        <w:rPr>
          <w:rFonts w:eastAsia="Times New Roman" w:cs="Times New Roman"/>
          <w:color w:val="000000"/>
          <w:lang w:eastAsia="da-DK"/>
        </w:rPr>
        <w:t>s</w:t>
      </w:r>
      <w:r w:rsidR="00D30ABF" w:rsidRPr="00577043">
        <w:rPr>
          <w:rFonts w:eastAsia="Times New Roman" w:cs="Times New Roman"/>
          <w:color w:val="000000"/>
          <w:lang w:eastAsia="da-DK"/>
        </w:rPr>
        <w:t xml:space="preserve"> deltagelse i et forsøg</w:t>
      </w:r>
      <w:r w:rsidR="006C4960" w:rsidRPr="00577043">
        <w:rPr>
          <w:rFonts w:eastAsia="Times New Roman" w:cs="Times New Roman"/>
          <w:color w:val="000000"/>
          <w:lang w:eastAsia="da-DK"/>
        </w:rPr>
        <w:t xml:space="preserve">, </w:t>
      </w:r>
      <w:r w:rsidR="00D30ABF" w:rsidRPr="00577043">
        <w:rPr>
          <w:rFonts w:eastAsia="Times New Roman" w:cs="Times New Roman"/>
          <w:color w:val="000000"/>
          <w:lang w:eastAsia="da-DK"/>
        </w:rPr>
        <w:t>idet</w:t>
      </w:r>
      <w:r w:rsidR="00BD7D03" w:rsidRPr="00577043">
        <w:rPr>
          <w:rFonts w:eastAsia="Times New Roman" w:cs="Times New Roman"/>
          <w:color w:val="000000"/>
          <w:lang w:eastAsia="da-DK"/>
        </w:rPr>
        <w:t xml:space="preserve"> de </w:t>
      </w:r>
      <w:r w:rsidR="006C4960" w:rsidRPr="00577043">
        <w:rPr>
          <w:rFonts w:eastAsia="Times New Roman" w:cs="Times New Roman"/>
          <w:color w:val="000000"/>
          <w:lang w:eastAsia="da-DK"/>
        </w:rPr>
        <w:t xml:space="preserve">praktiserende læger </w:t>
      </w:r>
      <w:r w:rsidR="00D30ABF" w:rsidRPr="00577043">
        <w:rPr>
          <w:rFonts w:eastAsia="Times New Roman" w:cs="Times New Roman"/>
          <w:color w:val="000000"/>
          <w:lang w:eastAsia="da-DK"/>
        </w:rPr>
        <w:t xml:space="preserve">i mange tilfælde </w:t>
      </w:r>
      <w:r w:rsidR="00BD7D03" w:rsidRPr="00577043">
        <w:rPr>
          <w:rFonts w:eastAsia="Times New Roman" w:cs="Times New Roman"/>
          <w:color w:val="000000"/>
          <w:lang w:eastAsia="da-DK"/>
        </w:rPr>
        <w:t xml:space="preserve">ikke </w:t>
      </w:r>
      <w:r w:rsidR="006C4960" w:rsidRPr="00577043">
        <w:rPr>
          <w:rFonts w:eastAsia="Times New Roman" w:cs="Times New Roman"/>
          <w:color w:val="000000"/>
          <w:lang w:eastAsia="da-DK"/>
        </w:rPr>
        <w:t xml:space="preserve">har </w:t>
      </w:r>
      <w:r w:rsidR="00BD7D03" w:rsidRPr="00577043">
        <w:rPr>
          <w:rFonts w:eastAsia="Times New Roman" w:cs="Times New Roman"/>
          <w:color w:val="000000"/>
          <w:lang w:eastAsia="da-DK"/>
        </w:rPr>
        <w:t xml:space="preserve">kendskab til eller har tid </w:t>
      </w:r>
      <w:r w:rsidR="006C4960" w:rsidRPr="00577043">
        <w:rPr>
          <w:rFonts w:eastAsia="Times New Roman" w:cs="Times New Roman"/>
          <w:color w:val="000000"/>
          <w:lang w:eastAsia="da-DK"/>
        </w:rPr>
        <w:t>til at sætte sig ind i de konkrete projekter</w:t>
      </w:r>
      <w:r w:rsidR="003213CF" w:rsidRPr="00577043">
        <w:rPr>
          <w:rFonts w:eastAsia="Times New Roman" w:cs="Times New Roman"/>
          <w:color w:val="000000"/>
          <w:lang w:eastAsia="da-DK"/>
        </w:rPr>
        <w:t xml:space="preserve">. Dette kan i praksis </w:t>
      </w:r>
      <w:r w:rsidR="00D30ABF" w:rsidRPr="00577043">
        <w:rPr>
          <w:rFonts w:eastAsia="Times New Roman" w:cs="Times New Roman"/>
          <w:color w:val="000000"/>
          <w:lang w:eastAsia="da-DK"/>
        </w:rPr>
        <w:t xml:space="preserve">medføre, at de praktiserende læger ikke tager stilling eller afviser anmodning om samtykke til en persons deltagelse i et forsøg. </w:t>
      </w:r>
      <w:r w:rsidR="003213CF" w:rsidRPr="00577043">
        <w:rPr>
          <w:rFonts w:eastAsia="Times New Roman" w:cs="Times New Roman"/>
          <w:color w:val="000000"/>
          <w:lang w:eastAsia="da-DK"/>
        </w:rPr>
        <w:t xml:space="preserve">Konsekvensen heraf </w:t>
      </w:r>
      <w:r w:rsidR="006C4960" w:rsidRPr="00577043">
        <w:rPr>
          <w:rFonts w:eastAsia="Times New Roman" w:cs="Times New Roman"/>
          <w:color w:val="000000"/>
          <w:lang w:eastAsia="da-DK"/>
        </w:rPr>
        <w:t xml:space="preserve">kan </w:t>
      </w:r>
      <w:r w:rsidR="00D30ABF" w:rsidRPr="00577043">
        <w:rPr>
          <w:rFonts w:eastAsia="Times New Roman" w:cs="Times New Roman"/>
          <w:color w:val="000000"/>
          <w:lang w:eastAsia="da-DK"/>
        </w:rPr>
        <w:t xml:space="preserve">derfor </w:t>
      </w:r>
      <w:r w:rsidR="003213CF" w:rsidRPr="00577043">
        <w:rPr>
          <w:rFonts w:eastAsia="Times New Roman" w:cs="Times New Roman"/>
          <w:color w:val="000000"/>
          <w:lang w:eastAsia="da-DK"/>
        </w:rPr>
        <w:t>v</w:t>
      </w:r>
      <w:r w:rsidR="00D30ABF" w:rsidRPr="00577043">
        <w:rPr>
          <w:rFonts w:eastAsia="Times New Roman" w:cs="Times New Roman"/>
          <w:color w:val="000000"/>
          <w:lang w:eastAsia="da-DK"/>
        </w:rPr>
        <w:t xml:space="preserve">ære, at </w:t>
      </w:r>
      <w:r w:rsidR="006C4960" w:rsidRPr="00577043">
        <w:rPr>
          <w:rFonts w:eastAsia="Times New Roman" w:cs="Times New Roman"/>
          <w:color w:val="000000"/>
          <w:lang w:eastAsia="da-DK"/>
        </w:rPr>
        <w:t xml:space="preserve">væsentlig forskning i nye og bedre behandlingsmetoder, herunder behandling med lægemidler, som er afgørende i forbindelse med </w:t>
      </w:r>
      <w:r w:rsidR="00A11C7D" w:rsidRPr="00577043">
        <w:rPr>
          <w:rFonts w:eastAsia="Times New Roman" w:cs="Times New Roman"/>
          <w:color w:val="000000"/>
          <w:lang w:eastAsia="da-DK"/>
        </w:rPr>
        <w:t xml:space="preserve">inhabile </w:t>
      </w:r>
      <w:r w:rsidR="006C4960" w:rsidRPr="00577043">
        <w:rPr>
          <w:rFonts w:eastAsia="Times New Roman" w:cs="Times New Roman"/>
          <w:color w:val="000000"/>
          <w:lang w:eastAsia="da-DK"/>
        </w:rPr>
        <w:t>forsøgspersoner</w:t>
      </w:r>
      <w:r w:rsidR="00A11C7D" w:rsidRPr="00577043">
        <w:rPr>
          <w:rFonts w:eastAsia="Times New Roman" w:cs="Times New Roman"/>
          <w:color w:val="000000"/>
          <w:lang w:eastAsia="da-DK"/>
        </w:rPr>
        <w:t>, ikke kan gennemføres</w:t>
      </w:r>
      <w:r w:rsidR="006C4960" w:rsidRPr="00577043">
        <w:rPr>
          <w:rFonts w:eastAsia="Times New Roman" w:cs="Times New Roman"/>
          <w:color w:val="000000"/>
          <w:lang w:eastAsia="da-DK"/>
        </w:rPr>
        <w:t>.</w:t>
      </w:r>
    </w:p>
    <w:p w14:paraId="665DAB45" w14:textId="77777777" w:rsidR="00492FFD" w:rsidRPr="00577043" w:rsidRDefault="00492FFD" w:rsidP="0059442C">
      <w:pPr>
        <w:keepNext/>
        <w:keepLines/>
        <w:rPr>
          <w:rFonts w:eastAsia="Times New Roman" w:cs="Times New Roman"/>
          <w:color w:val="000000"/>
          <w:lang w:eastAsia="da-DK"/>
        </w:rPr>
      </w:pPr>
    </w:p>
    <w:p w14:paraId="32805B25" w14:textId="77777777" w:rsidR="0022100B" w:rsidRPr="00577043" w:rsidRDefault="0059442C" w:rsidP="00D14BED">
      <w:pPr>
        <w:pStyle w:val="Overskrift7"/>
        <w:rPr>
          <w:rFonts w:eastAsia="Times New Roman"/>
          <w:lang w:eastAsia="da-DK"/>
        </w:rPr>
      </w:pPr>
      <w:r w:rsidRPr="00577043">
        <w:rPr>
          <w:rFonts w:eastAsia="Times New Roman"/>
          <w:lang w:eastAsia="da-DK"/>
        </w:rPr>
        <w:t>2.</w:t>
      </w:r>
      <w:r w:rsidR="00B15DD5">
        <w:rPr>
          <w:rFonts w:eastAsia="Times New Roman"/>
          <w:lang w:eastAsia="da-DK"/>
        </w:rPr>
        <w:t>9</w:t>
      </w:r>
      <w:r w:rsidRPr="00577043">
        <w:rPr>
          <w:rFonts w:eastAsia="Times New Roman"/>
          <w:lang w:eastAsia="da-DK"/>
        </w:rPr>
        <w:t xml:space="preserve">.1.4. </w:t>
      </w:r>
      <w:r w:rsidR="00FE577C">
        <w:rPr>
          <w:rFonts w:eastAsia="Times New Roman"/>
          <w:lang w:eastAsia="da-DK"/>
        </w:rPr>
        <w:t>L</w:t>
      </w:r>
      <w:r w:rsidR="0022100B" w:rsidRPr="00577043">
        <w:rPr>
          <w:rFonts w:eastAsia="Times New Roman"/>
          <w:lang w:eastAsia="da-DK"/>
        </w:rPr>
        <w:t>ægemiddelforsøg</w:t>
      </w:r>
      <w:r w:rsidR="00D14BED" w:rsidRPr="00577043">
        <w:rPr>
          <w:rFonts w:eastAsia="Times New Roman"/>
          <w:lang w:eastAsia="da-DK"/>
        </w:rPr>
        <w:t xml:space="preserve"> </w:t>
      </w:r>
      <w:r w:rsidRPr="00577043">
        <w:rPr>
          <w:rFonts w:eastAsia="Times New Roman"/>
          <w:lang w:eastAsia="da-DK"/>
        </w:rPr>
        <w:t>i akutte situationer</w:t>
      </w:r>
    </w:p>
    <w:p w14:paraId="0135758F" w14:textId="77777777" w:rsidR="00917D97" w:rsidRPr="00577043" w:rsidRDefault="00AB33F8" w:rsidP="00917D97">
      <w:pPr>
        <w:rPr>
          <w:rFonts w:eastAsia="Times New Roman" w:cs="Times New Roman"/>
          <w:color w:val="000000"/>
          <w:lang w:eastAsia="da-DK"/>
        </w:rPr>
      </w:pPr>
      <w:r w:rsidRPr="00577043">
        <w:rPr>
          <w:rFonts w:eastAsia="Times New Roman" w:cs="Times New Roman"/>
          <w:color w:val="000000"/>
          <w:lang w:eastAsia="da-DK"/>
        </w:rPr>
        <w:t>E</w:t>
      </w:r>
      <w:r w:rsidR="00917D97" w:rsidRPr="00577043">
        <w:rPr>
          <w:rFonts w:eastAsia="Times New Roman" w:cs="Times New Roman"/>
          <w:color w:val="000000"/>
          <w:lang w:eastAsia="da-DK"/>
        </w:rPr>
        <w:t xml:space="preserve">n videnskabsetisk komité </w:t>
      </w:r>
      <w:r w:rsidR="004D054F" w:rsidRPr="00577043">
        <w:rPr>
          <w:rFonts w:eastAsia="Times New Roman" w:cs="Times New Roman"/>
          <w:color w:val="000000"/>
          <w:lang w:eastAsia="da-DK"/>
        </w:rPr>
        <w:t xml:space="preserve">kan </w:t>
      </w:r>
      <w:r w:rsidR="00917D97" w:rsidRPr="00577043">
        <w:rPr>
          <w:rFonts w:eastAsia="Times New Roman" w:cs="Times New Roman"/>
          <w:color w:val="000000"/>
          <w:lang w:eastAsia="da-DK"/>
        </w:rPr>
        <w:t xml:space="preserve">efter komitélovens § 12 tillade, at et sundhedsvidenskabeligt forskningsprojekt, der angår kliniske forsøg med lægemidler, gennemføres </w:t>
      </w:r>
      <w:r w:rsidRPr="00577043">
        <w:rPr>
          <w:rFonts w:eastAsia="Times New Roman" w:cs="Times New Roman"/>
          <w:color w:val="000000"/>
          <w:lang w:eastAsia="da-DK"/>
        </w:rPr>
        <w:t>med</w:t>
      </w:r>
      <w:r w:rsidR="00917D97" w:rsidRPr="00577043">
        <w:rPr>
          <w:rFonts w:eastAsia="Times New Roman" w:cs="Times New Roman"/>
          <w:color w:val="000000"/>
          <w:lang w:eastAsia="da-DK"/>
        </w:rPr>
        <w:t xml:space="preserve"> stedfortrædende samtykke fra en </w:t>
      </w:r>
      <w:r w:rsidRPr="00577043">
        <w:rPr>
          <w:rFonts w:eastAsia="Times New Roman" w:cs="Times New Roman"/>
          <w:color w:val="000000"/>
          <w:lang w:eastAsia="da-DK"/>
        </w:rPr>
        <w:t xml:space="preserve">forsøgsværge, </w:t>
      </w:r>
      <w:r w:rsidR="00917D97" w:rsidRPr="00577043">
        <w:rPr>
          <w:rFonts w:eastAsia="Times New Roman" w:cs="Times New Roman"/>
          <w:color w:val="000000"/>
          <w:lang w:eastAsia="da-DK"/>
        </w:rPr>
        <w:t xml:space="preserve">hvis forskningsprojektet efter sin karakter kun kan gennemføres i akutte situationer, hvor forsøgspersonen ikke er i stand til at afgive et informeret samtykke, og det ikke er muligt at indhente et stedfortrædende samtykke efter §§ 3 og 4. Den forsøgsansvarlige skal snarest muligt efterfølgende søge at indhente informeret samtykke </w:t>
      </w:r>
      <w:r w:rsidR="002B436B" w:rsidRPr="00577043">
        <w:rPr>
          <w:rFonts w:eastAsia="Times New Roman" w:cs="Times New Roman"/>
          <w:color w:val="000000"/>
          <w:lang w:eastAsia="da-DK"/>
        </w:rPr>
        <w:t xml:space="preserve">fra forsøgspersonen </w:t>
      </w:r>
      <w:r w:rsidR="00917D97" w:rsidRPr="00577043">
        <w:rPr>
          <w:rFonts w:eastAsia="Times New Roman" w:cs="Times New Roman"/>
          <w:color w:val="000000"/>
          <w:lang w:eastAsia="da-DK"/>
        </w:rPr>
        <w:t>eller stedfort</w:t>
      </w:r>
      <w:r w:rsidRPr="00577043">
        <w:rPr>
          <w:rFonts w:eastAsia="Times New Roman" w:cs="Times New Roman"/>
          <w:color w:val="000000"/>
          <w:lang w:eastAsia="da-DK"/>
        </w:rPr>
        <w:t>rædende samtykke</w:t>
      </w:r>
      <w:r w:rsidR="00917D97" w:rsidRPr="00577043">
        <w:rPr>
          <w:rFonts w:eastAsia="Times New Roman" w:cs="Times New Roman"/>
          <w:color w:val="000000"/>
          <w:lang w:eastAsia="da-DK"/>
        </w:rPr>
        <w:t>.</w:t>
      </w:r>
    </w:p>
    <w:p w14:paraId="7AEB9DA0" w14:textId="77777777" w:rsidR="00917D97" w:rsidRPr="00577043" w:rsidRDefault="00917D97" w:rsidP="00917D97">
      <w:pPr>
        <w:rPr>
          <w:rFonts w:eastAsia="Times New Roman" w:cs="Times New Roman"/>
          <w:color w:val="000000"/>
          <w:lang w:eastAsia="da-DK"/>
        </w:rPr>
      </w:pPr>
    </w:p>
    <w:p w14:paraId="3C0B098C" w14:textId="77777777" w:rsidR="00917D97" w:rsidRPr="00577043" w:rsidRDefault="00917D97" w:rsidP="00917D97">
      <w:pPr>
        <w:rPr>
          <w:rFonts w:eastAsia="Times New Roman" w:cs="Times New Roman"/>
          <w:color w:val="000000"/>
          <w:lang w:eastAsia="da-DK"/>
        </w:rPr>
      </w:pPr>
      <w:r w:rsidRPr="00577043">
        <w:rPr>
          <w:rFonts w:eastAsia="Times New Roman" w:cs="Times New Roman"/>
          <w:color w:val="000000"/>
          <w:lang w:eastAsia="da-DK"/>
        </w:rPr>
        <w:t xml:space="preserve">En forsøgsværge er en enhed </w:t>
      </w:r>
      <w:r w:rsidR="00361C3B" w:rsidRPr="00577043">
        <w:rPr>
          <w:rFonts w:eastAsia="Times New Roman" w:cs="Times New Roman"/>
          <w:color w:val="000000"/>
          <w:lang w:eastAsia="da-DK"/>
        </w:rPr>
        <w:t xml:space="preserve">bestående </w:t>
      </w:r>
      <w:r w:rsidRPr="00577043">
        <w:rPr>
          <w:rFonts w:eastAsia="Times New Roman" w:cs="Times New Roman"/>
          <w:color w:val="000000"/>
          <w:lang w:eastAsia="da-DK"/>
        </w:rPr>
        <w:t>af to læger</w:t>
      </w:r>
      <w:r w:rsidR="00AB33F8" w:rsidRPr="00577043">
        <w:rPr>
          <w:rFonts w:eastAsia="Times New Roman" w:cs="Times New Roman"/>
          <w:color w:val="000000"/>
          <w:lang w:eastAsia="da-DK"/>
        </w:rPr>
        <w:t>. Det kan</w:t>
      </w:r>
      <w:r w:rsidRPr="00577043">
        <w:rPr>
          <w:rFonts w:eastAsia="Times New Roman" w:cs="Times New Roman"/>
          <w:color w:val="000000"/>
          <w:lang w:eastAsia="da-DK"/>
        </w:rPr>
        <w:t xml:space="preserve"> enten </w:t>
      </w:r>
      <w:r w:rsidR="00AB33F8" w:rsidRPr="00577043">
        <w:rPr>
          <w:rFonts w:eastAsia="Times New Roman" w:cs="Times New Roman"/>
          <w:color w:val="000000"/>
          <w:lang w:eastAsia="da-DK"/>
        </w:rPr>
        <w:t xml:space="preserve">være </w:t>
      </w:r>
      <w:r w:rsidRPr="00577043">
        <w:rPr>
          <w:rFonts w:eastAsia="Times New Roman" w:cs="Times New Roman"/>
          <w:color w:val="000000"/>
          <w:lang w:eastAsia="da-DK"/>
        </w:rPr>
        <w:t xml:space="preserve">de samme to læger, der kontaktes for alle forsøgspersoner, der ønskes inddraget, eller læger, som udpeges og kontaktes ad hoc for de enkelte forsøgspersoners inddragelse i akutforskning med lægemidler, jf. komitélovens § 2, nr. 12. </w:t>
      </w:r>
    </w:p>
    <w:p w14:paraId="0E7A1FFF" w14:textId="77777777" w:rsidR="00917D97" w:rsidRPr="00577043" w:rsidRDefault="00917D97" w:rsidP="004C2289">
      <w:pPr>
        <w:rPr>
          <w:rFonts w:eastAsia="Times New Roman" w:cs="Times New Roman"/>
          <w:color w:val="000000"/>
          <w:lang w:eastAsia="da-DK"/>
        </w:rPr>
      </w:pPr>
    </w:p>
    <w:p w14:paraId="7E2A2ED5" w14:textId="77777777" w:rsidR="00251FBA" w:rsidRPr="00577043" w:rsidRDefault="00251FBA" w:rsidP="00D14BED">
      <w:pPr>
        <w:pStyle w:val="Overskrift6"/>
        <w:rPr>
          <w:rFonts w:eastAsia="Times New Roman"/>
          <w:lang w:eastAsia="da-DK"/>
        </w:rPr>
      </w:pPr>
      <w:r w:rsidRPr="00577043">
        <w:rPr>
          <w:rFonts w:eastAsia="Times New Roman"/>
          <w:lang w:eastAsia="da-DK"/>
        </w:rPr>
        <w:t>2.</w:t>
      </w:r>
      <w:r w:rsidR="00B15DD5">
        <w:rPr>
          <w:rFonts w:eastAsia="Times New Roman"/>
          <w:lang w:eastAsia="da-DK"/>
        </w:rPr>
        <w:t>9</w:t>
      </w:r>
      <w:r w:rsidRPr="00577043">
        <w:rPr>
          <w:rFonts w:eastAsia="Times New Roman"/>
          <w:lang w:eastAsia="da-DK"/>
        </w:rPr>
        <w:t>.2. Forslag</w:t>
      </w:r>
    </w:p>
    <w:p w14:paraId="3353A03C" w14:textId="77777777" w:rsidR="00361C3B" w:rsidRPr="00577043" w:rsidRDefault="00304709" w:rsidP="004C2289">
      <w:pPr>
        <w:rPr>
          <w:rFonts w:eastAsia="Times New Roman" w:cs="Times New Roman"/>
          <w:color w:val="000000"/>
          <w:lang w:eastAsia="da-DK"/>
        </w:rPr>
      </w:pPr>
      <w:r w:rsidRPr="00577043">
        <w:rPr>
          <w:rFonts w:eastAsia="Times New Roman" w:cs="Times New Roman"/>
          <w:color w:val="000000"/>
          <w:lang w:eastAsia="da-DK"/>
        </w:rPr>
        <w:t xml:space="preserve">I forordningen er der fastsat </w:t>
      </w:r>
      <w:r w:rsidR="000C033D" w:rsidRPr="00577043">
        <w:rPr>
          <w:rFonts w:eastAsia="Times New Roman" w:cs="Times New Roman"/>
          <w:color w:val="000000"/>
          <w:lang w:eastAsia="da-DK"/>
        </w:rPr>
        <w:t xml:space="preserve">krav til </w:t>
      </w:r>
      <w:r w:rsidR="00EA2B35" w:rsidRPr="00577043">
        <w:rPr>
          <w:rFonts w:eastAsia="Times New Roman" w:cs="Times New Roman"/>
          <w:color w:val="000000"/>
          <w:lang w:eastAsia="da-DK"/>
        </w:rPr>
        <w:t xml:space="preserve">kliniske </w:t>
      </w:r>
      <w:r w:rsidR="000C033D" w:rsidRPr="00577043">
        <w:rPr>
          <w:rFonts w:eastAsia="Times New Roman" w:cs="Times New Roman"/>
          <w:color w:val="000000"/>
          <w:lang w:eastAsia="da-DK"/>
        </w:rPr>
        <w:t>forsøg med henblik på besky</w:t>
      </w:r>
      <w:r w:rsidR="00EA2B35" w:rsidRPr="00577043">
        <w:rPr>
          <w:rFonts w:eastAsia="Times New Roman" w:cs="Times New Roman"/>
          <w:color w:val="000000"/>
          <w:lang w:eastAsia="da-DK"/>
        </w:rPr>
        <w:t>ttelse af forsøgspersoner</w:t>
      </w:r>
      <w:r w:rsidR="000C033D" w:rsidRPr="00577043">
        <w:rPr>
          <w:rFonts w:eastAsia="Times New Roman" w:cs="Times New Roman"/>
          <w:color w:val="000000"/>
          <w:lang w:eastAsia="da-DK"/>
        </w:rPr>
        <w:t xml:space="preserve">, herunder </w:t>
      </w:r>
      <w:r w:rsidRPr="00577043">
        <w:rPr>
          <w:rFonts w:eastAsia="Times New Roman" w:cs="Times New Roman"/>
          <w:color w:val="000000"/>
          <w:lang w:eastAsia="da-DK"/>
        </w:rPr>
        <w:t xml:space="preserve">bestemmelser </w:t>
      </w:r>
      <w:r w:rsidR="00E53C17">
        <w:rPr>
          <w:rFonts w:eastAsia="Times New Roman" w:cs="Times New Roman"/>
          <w:color w:val="000000"/>
          <w:lang w:eastAsia="da-DK"/>
        </w:rPr>
        <w:t>om</w:t>
      </w:r>
      <w:r w:rsidRPr="00577043">
        <w:rPr>
          <w:rFonts w:eastAsia="Times New Roman" w:cs="Times New Roman"/>
          <w:color w:val="000000"/>
          <w:lang w:eastAsia="da-DK"/>
        </w:rPr>
        <w:t xml:space="preserve"> </w:t>
      </w:r>
      <w:r w:rsidR="00B34619" w:rsidRPr="00577043">
        <w:rPr>
          <w:rFonts w:eastAsia="Times New Roman" w:cs="Times New Roman"/>
          <w:color w:val="000000"/>
          <w:lang w:eastAsia="da-DK"/>
        </w:rPr>
        <w:t xml:space="preserve">informeret </w:t>
      </w:r>
      <w:r w:rsidRPr="00577043">
        <w:rPr>
          <w:rFonts w:eastAsia="Times New Roman" w:cs="Times New Roman"/>
          <w:color w:val="000000"/>
          <w:lang w:eastAsia="da-DK"/>
        </w:rPr>
        <w:t>samtykke til deltagelse i kliniske forsøg. Disse bestemmel</w:t>
      </w:r>
      <w:r w:rsidR="00701287" w:rsidRPr="00577043">
        <w:rPr>
          <w:rFonts w:eastAsia="Times New Roman" w:cs="Times New Roman"/>
          <w:color w:val="000000"/>
          <w:lang w:eastAsia="da-DK"/>
        </w:rPr>
        <w:t>s</w:t>
      </w:r>
      <w:r w:rsidRPr="00577043">
        <w:rPr>
          <w:rFonts w:eastAsia="Times New Roman" w:cs="Times New Roman"/>
          <w:color w:val="000000"/>
          <w:lang w:eastAsia="da-DK"/>
        </w:rPr>
        <w:t xml:space="preserve">er erstatter således komitélovens bestemmelser </w:t>
      </w:r>
      <w:r w:rsidR="00E53C17">
        <w:rPr>
          <w:rFonts w:eastAsia="Times New Roman" w:cs="Times New Roman"/>
          <w:color w:val="000000"/>
          <w:lang w:eastAsia="da-DK"/>
        </w:rPr>
        <w:t>om</w:t>
      </w:r>
      <w:r w:rsidRPr="00577043">
        <w:rPr>
          <w:rFonts w:eastAsia="Times New Roman" w:cs="Times New Roman"/>
          <w:color w:val="000000"/>
          <w:lang w:eastAsia="da-DK"/>
        </w:rPr>
        <w:t xml:space="preserve"> </w:t>
      </w:r>
      <w:r w:rsidR="000C033D" w:rsidRPr="00577043">
        <w:rPr>
          <w:rFonts w:eastAsia="Times New Roman" w:cs="Times New Roman"/>
          <w:color w:val="000000"/>
          <w:lang w:eastAsia="da-DK"/>
        </w:rPr>
        <w:t xml:space="preserve">bl.a. </w:t>
      </w:r>
      <w:r w:rsidRPr="00577043">
        <w:rPr>
          <w:rFonts w:eastAsia="Times New Roman" w:cs="Times New Roman"/>
          <w:color w:val="000000"/>
          <w:lang w:eastAsia="da-DK"/>
        </w:rPr>
        <w:t>samtykke for så vidt angår lægemiddelf</w:t>
      </w:r>
      <w:r w:rsidR="000C033D" w:rsidRPr="00577043">
        <w:rPr>
          <w:rFonts w:eastAsia="Times New Roman" w:cs="Times New Roman"/>
          <w:color w:val="000000"/>
          <w:lang w:eastAsia="da-DK"/>
        </w:rPr>
        <w:t xml:space="preserve">orsøg. Det vurderes, at </w:t>
      </w:r>
      <w:r w:rsidR="00B34619" w:rsidRPr="00577043">
        <w:rPr>
          <w:rFonts w:eastAsia="Times New Roman" w:cs="Times New Roman"/>
          <w:color w:val="000000"/>
          <w:lang w:eastAsia="da-DK"/>
        </w:rPr>
        <w:t xml:space="preserve">bestemmelserne </w:t>
      </w:r>
      <w:r w:rsidR="00E53C17">
        <w:rPr>
          <w:rFonts w:eastAsia="Times New Roman" w:cs="Times New Roman"/>
          <w:color w:val="000000"/>
          <w:lang w:eastAsia="da-DK"/>
        </w:rPr>
        <w:t>om</w:t>
      </w:r>
      <w:r w:rsidR="00B34619" w:rsidRPr="00577043">
        <w:rPr>
          <w:rFonts w:eastAsia="Times New Roman" w:cs="Times New Roman"/>
          <w:color w:val="000000"/>
          <w:lang w:eastAsia="da-DK"/>
        </w:rPr>
        <w:t xml:space="preserve"> informeret samtykke </w:t>
      </w:r>
      <w:r w:rsidR="000C033D" w:rsidRPr="00577043">
        <w:rPr>
          <w:rFonts w:eastAsia="Times New Roman" w:cs="Times New Roman"/>
          <w:color w:val="000000"/>
          <w:lang w:eastAsia="da-DK"/>
        </w:rPr>
        <w:t>i hovedtræk</w:t>
      </w:r>
      <w:r w:rsidRPr="00577043">
        <w:rPr>
          <w:rFonts w:eastAsia="Times New Roman" w:cs="Times New Roman"/>
          <w:color w:val="000000"/>
          <w:lang w:eastAsia="da-DK"/>
        </w:rPr>
        <w:t xml:space="preserve"> svar</w:t>
      </w:r>
      <w:r w:rsidR="000C033D" w:rsidRPr="00577043">
        <w:rPr>
          <w:rFonts w:eastAsia="Times New Roman" w:cs="Times New Roman"/>
          <w:color w:val="000000"/>
          <w:lang w:eastAsia="da-DK"/>
        </w:rPr>
        <w:t xml:space="preserve">er til de gældende regler i komitéloven, </w:t>
      </w:r>
      <w:r w:rsidR="00EA2B35" w:rsidRPr="00577043">
        <w:rPr>
          <w:rFonts w:eastAsia="Times New Roman" w:cs="Times New Roman"/>
          <w:color w:val="000000"/>
          <w:lang w:eastAsia="da-DK"/>
        </w:rPr>
        <w:t xml:space="preserve">som </w:t>
      </w:r>
      <w:r w:rsidR="000C033D" w:rsidRPr="00577043">
        <w:rPr>
          <w:rFonts w:eastAsia="Times New Roman" w:cs="Times New Roman"/>
          <w:color w:val="000000"/>
          <w:lang w:eastAsia="da-DK"/>
        </w:rPr>
        <w:t>er fastsat i overensstemmelse med GCP-direktivet, som afløses af forordningen</w:t>
      </w:r>
      <w:r w:rsidRPr="00577043">
        <w:rPr>
          <w:rFonts w:eastAsia="Times New Roman" w:cs="Times New Roman"/>
          <w:color w:val="000000"/>
          <w:lang w:eastAsia="da-DK"/>
        </w:rPr>
        <w:t xml:space="preserve">. </w:t>
      </w:r>
    </w:p>
    <w:p w14:paraId="2A36E535" w14:textId="77777777" w:rsidR="00D9193B" w:rsidRDefault="00D9193B" w:rsidP="00CB2276">
      <w:pPr>
        <w:rPr>
          <w:rFonts w:eastAsia="Times New Roman" w:cs="Times New Roman"/>
          <w:color w:val="000000"/>
          <w:lang w:eastAsia="da-DK"/>
        </w:rPr>
      </w:pPr>
    </w:p>
    <w:p w14:paraId="1703D9B4" w14:textId="77777777" w:rsidR="00E65861" w:rsidRDefault="00E65861" w:rsidP="00E65861">
      <w:pPr>
        <w:rPr>
          <w:rFonts w:eastAsia="Times New Roman" w:cs="Times New Roman"/>
          <w:color w:val="000000"/>
          <w:lang w:eastAsia="da-DK"/>
        </w:rPr>
      </w:pPr>
      <w:r>
        <w:rPr>
          <w:rFonts w:eastAsia="Times New Roman" w:cs="Times New Roman"/>
          <w:color w:val="000000"/>
          <w:lang w:eastAsia="da-DK"/>
        </w:rPr>
        <w:t xml:space="preserve">I forordningen er der tilsvarende fastsat krav om stedfortrædende samtykke, som varetages af den retligt udpegede repræsentant. Der er fastsat skærpede krav til forsøg, som gennemføres med forsøgspersoner, der ikke selv kan afgive samtykke. Således er der i forbindelse med forsøg, der inddrager forsøgspersoner uden handleevne (inhabile) og mindreårige samt gravide kvinder og ammende kvinder fastsat særlige beskyttelsesforanstaltninger, jf. </w:t>
      </w:r>
      <w:r w:rsidRPr="00577043">
        <w:rPr>
          <w:rFonts w:eastAsia="Times New Roman" w:cs="Times New Roman"/>
          <w:bCs/>
          <w:color w:val="000000"/>
          <w:lang w:eastAsia="da-DK"/>
        </w:rPr>
        <w:t>art</w:t>
      </w:r>
      <w:r>
        <w:rPr>
          <w:rFonts w:eastAsia="Times New Roman" w:cs="Times New Roman"/>
          <w:bCs/>
          <w:color w:val="000000"/>
          <w:lang w:eastAsia="da-DK"/>
        </w:rPr>
        <w:t>ikel</w:t>
      </w:r>
      <w:r>
        <w:rPr>
          <w:rFonts w:eastAsia="Times New Roman" w:cs="Times New Roman"/>
          <w:color w:val="000000"/>
          <w:lang w:eastAsia="da-DK"/>
        </w:rPr>
        <w:t xml:space="preserve"> 31-35. Fx forudsætter godkendelsen af et klinisk forsøg med forsøgspersoner uden handleevne bl.a., at det kliniske forsøg er afgørende i forbindelse med forsøgspersoner uden handleevne, og data af sammenlignelig validitet kan ikke indhentes ved kliniske forsøg på personer, der er i stand til at give et informeret samtykke, eller ved andre forskningsmetoder, jf. </w:t>
      </w:r>
      <w:r w:rsidRPr="00577043">
        <w:rPr>
          <w:rFonts w:eastAsia="Times New Roman" w:cs="Times New Roman"/>
          <w:bCs/>
          <w:color w:val="000000"/>
          <w:lang w:eastAsia="da-DK"/>
        </w:rPr>
        <w:t>art</w:t>
      </w:r>
      <w:r>
        <w:rPr>
          <w:rFonts w:eastAsia="Times New Roman" w:cs="Times New Roman"/>
          <w:bCs/>
          <w:color w:val="000000"/>
          <w:lang w:eastAsia="da-DK"/>
        </w:rPr>
        <w:t>ikel</w:t>
      </w:r>
      <w:r>
        <w:rPr>
          <w:rFonts w:eastAsia="Times New Roman" w:cs="Times New Roman"/>
          <w:color w:val="000000"/>
          <w:lang w:eastAsia="da-DK"/>
        </w:rPr>
        <w:t xml:space="preserve"> 31, stk. 1, litra e. </w:t>
      </w:r>
    </w:p>
    <w:p w14:paraId="09C391C1" w14:textId="77777777" w:rsidR="00E65861" w:rsidRDefault="00E65861" w:rsidP="00CB2276">
      <w:pPr>
        <w:rPr>
          <w:rFonts w:eastAsia="Times New Roman" w:cs="Times New Roman"/>
          <w:color w:val="000000"/>
          <w:lang w:eastAsia="da-DK"/>
        </w:rPr>
      </w:pPr>
    </w:p>
    <w:p w14:paraId="2EBB57E8" w14:textId="77777777" w:rsidR="00DC5CAF" w:rsidRPr="00DC5CAF" w:rsidRDefault="00DC5CAF" w:rsidP="00386F34">
      <w:pPr>
        <w:pStyle w:val="Overskrift7"/>
        <w:rPr>
          <w:rFonts w:eastAsia="Times New Roman" w:cs="Times New Roman"/>
          <w:color w:val="000000"/>
          <w:lang w:eastAsia="da-DK"/>
        </w:rPr>
      </w:pPr>
      <w:r w:rsidRPr="00DC5CAF">
        <w:rPr>
          <w:rFonts w:eastAsia="Times New Roman" w:cs="Times New Roman"/>
          <w:color w:val="000000"/>
          <w:lang w:eastAsia="da-DK"/>
        </w:rPr>
        <w:lastRenderedPageBreak/>
        <w:t>2.9.2.1. Mindreårige</w:t>
      </w:r>
    </w:p>
    <w:p w14:paraId="64281AFF" w14:textId="77777777" w:rsidR="00D14BED" w:rsidRPr="001F6C96" w:rsidRDefault="003C1540" w:rsidP="00386F34">
      <w:pPr>
        <w:pStyle w:val="Overskrift7"/>
        <w:rPr>
          <w:rFonts w:ascii="Times New Roman" w:eastAsia="Times New Roman" w:hAnsi="Times New Roman" w:cs="Times New Roman"/>
          <w:i w:val="0"/>
          <w:lang w:eastAsia="da-DK"/>
        </w:rPr>
      </w:pPr>
      <w:r w:rsidRPr="001F6C96">
        <w:rPr>
          <w:rFonts w:ascii="Times New Roman" w:eastAsia="Times New Roman" w:hAnsi="Times New Roman" w:cs="Times New Roman"/>
          <w:i w:val="0"/>
          <w:color w:val="000000"/>
          <w:lang w:eastAsia="da-DK"/>
        </w:rPr>
        <w:t xml:space="preserve">Reglerne for </w:t>
      </w:r>
      <w:r w:rsidR="00D00047" w:rsidRPr="001F6C96">
        <w:rPr>
          <w:rFonts w:ascii="Times New Roman" w:eastAsia="Times New Roman" w:hAnsi="Times New Roman" w:cs="Times New Roman"/>
          <w:i w:val="0"/>
          <w:color w:val="000000"/>
          <w:lang w:eastAsia="da-DK"/>
        </w:rPr>
        <w:t xml:space="preserve">stedfortrædende samtykke </w:t>
      </w:r>
      <w:r w:rsidRPr="001F6C96">
        <w:rPr>
          <w:rFonts w:ascii="Times New Roman" w:eastAsia="Times New Roman" w:hAnsi="Times New Roman" w:cs="Times New Roman"/>
          <w:i w:val="0"/>
          <w:color w:val="000000"/>
          <w:lang w:eastAsia="da-DK"/>
        </w:rPr>
        <w:t>skal fortsat fastsættes af de enkelte medlemsstater. Det er således</w:t>
      </w:r>
      <w:r w:rsidR="00D00047" w:rsidRPr="001F6C96">
        <w:rPr>
          <w:rFonts w:ascii="Times New Roman" w:eastAsia="Times New Roman" w:hAnsi="Times New Roman" w:cs="Times New Roman"/>
          <w:i w:val="0"/>
          <w:color w:val="000000"/>
          <w:lang w:eastAsia="da-DK"/>
        </w:rPr>
        <w:t xml:space="preserve"> fastsat i </w:t>
      </w:r>
      <w:r w:rsidR="006A04BA" w:rsidRPr="001F6C96">
        <w:rPr>
          <w:rFonts w:ascii="Times New Roman" w:eastAsia="Times New Roman" w:hAnsi="Times New Roman" w:cs="Times New Roman"/>
          <w:i w:val="0"/>
          <w:color w:val="000000"/>
          <w:lang w:eastAsia="da-DK"/>
        </w:rPr>
        <w:t xml:space="preserve">forordningens betragtning nr. 27, at det overlades til medlemsstaterne at udpege en retlig repræsentant for forsøgspersoner uden handleevne og mindreårige. </w:t>
      </w:r>
      <w:r w:rsidR="00FC4F6E" w:rsidRPr="001F6C96">
        <w:rPr>
          <w:rFonts w:ascii="Times New Roman" w:eastAsia="Times New Roman" w:hAnsi="Times New Roman" w:cs="Times New Roman"/>
          <w:i w:val="0"/>
          <w:color w:val="000000"/>
          <w:lang w:eastAsia="da-DK"/>
        </w:rPr>
        <w:t>I forordningens artikel 2, stk. 1, nr. 20</w:t>
      </w:r>
      <w:r w:rsidR="00EE0133" w:rsidRPr="001F6C96">
        <w:rPr>
          <w:rFonts w:ascii="Times New Roman" w:eastAsia="Times New Roman" w:hAnsi="Times New Roman" w:cs="Times New Roman"/>
          <w:i w:val="0"/>
          <w:color w:val="000000"/>
          <w:lang w:eastAsia="da-DK"/>
        </w:rPr>
        <w:t>,</w:t>
      </w:r>
      <w:r w:rsidR="00FC4F6E" w:rsidRPr="001F6C96">
        <w:rPr>
          <w:rFonts w:ascii="Times New Roman" w:eastAsia="Times New Roman" w:hAnsi="Times New Roman" w:cs="Times New Roman"/>
          <w:i w:val="0"/>
          <w:color w:val="000000"/>
          <w:lang w:eastAsia="da-DK"/>
        </w:rPr>
        <w:t xml:space="preserve"> defineres en retligt udpeget repræsentant som ”en fysisk eller juridisk person, myndighed eller organ, som i henhold til lovgivningen i den berørte medlemsstat, er bemyndiget til at give informeret samtykke på vegne af en forsøgsperson, som er uden handleevne eller mindreårigt.”</w:t>
      </w:r>
      <w:r w:rsidR="0059442C" w:rsidRPr="001F6C96">
        <w:rPr>
          <w:rFonts w:ascii="Times New Roman" w:eastAsia="Times New Roman" w:hAnsi="Times New Roman" w:cs="Times New Roman"/>
          <w:i w:val="0"/>
          <w:lang w:eastAsia="da-DK"/>
        </w:rPr>
        <w:t>2.5.2.</w:t>
      </w:r>
      <w:r w:rsidR="00FE577C" w:rsidRPr="001F6C96">
        <w:rPr>
          <w:rFonts w:ascii="Times New Roman" w:eastAsia="Times New Roman" w:hAnsi="Times New Roman" w:cs="Times New Roman"/>
          <w:i w:val="0"/>
          <w:lang w:eastAsia="da-DK"/>
        </w:rPr>
        <w:t>1</w:t>
      </w:r>
      <w:r w:rsidR="00D14BED" w:rsidRPr="001F6C96">
        <w:rPr>
          <w:rFonts w:ascii="Times New Roman" w:eastAsia="Times New Roman" w:hAnsi="Times New Roman" w:cs="Times New Roman"/>
          <w:i w:val="0"/>
          <w:lang w:eastAsia="da-DK"/>
        </w:rPr>
        <w:t>. Mindreårige</w:t>
      </w:r>
    </w:p>
    <w:p w14:paraId="71A09FEB" w14:textId="77777777" w:rsidR="00861C34" w:rsidRPr="001F6C96" w:rsidRDefault="00CE3F61" w:rsidP="00CE3F61">
      <w:pPr>
        <w:rPr>
          <w:rFonts w:eastAsia="Times New Roman" w:cs="Times New Roman"/>
          <w:color w:val="000000"/>
          <w:lang w:eastAsia="da-DK"/>
        </w:rPr>
      </w:pPr>
      <w:r w:rsidRPr="001F6C96">
        <w:rPr>
          <w:rFonts w:eastAsia="Times New Roman" w:cs="Times New Roman"/>
          <w:color w:val="000000"/>
          <w:lang w:eastAsia="da-DK"/>
        </w:rPr>
        <w:t xml:space="preserve">Det er ikke i medfør af forordningen muligt at fastsætte </w:t>
      </w:r>
      <w:r w:rsidR="00F71418" w:rsidRPr="001F6C96">
        <w:rPr>
          <w:rFonts w:eastAsia="Times New Roman" w:cs="Times New Roman"/>
          <w:color w:val="000000"/>
          <w:lang w:eastAsia="da-DK"/>
        </w:rPr>
        <w:t>b</w:t>
      </w:r>
      <w:r w:rsidRPr="001F6C96">
        <w:rPr>
          <w:rFonts w:eastAsia="Times New Roman" w:cs="Times New Roman"/>
          <w:color w:val="000000"/>
          <w:lang w:eastAsia="da-DK"/>
        </w:rPr>
        <w:t>estemmelse</w:t>
      </w:r>
      <w:r w:rsidR="00F71418" w:rsidRPr="001F6C96">
        <w:rPr>
          <w:rFonts w:eastAsia="Times New Roman" w:cs="Times New Roman"/>
          <w:color w:val="000000"/>
          <w:lang w:eastAsia="da-DK"/>
        </w:rPr>
        <w:t>r om selvstændigt samtykke fra forsøgspersoner, som er fyldt 15 år, men ikke er myndig, svarende til</w:t>
      </w:r>
      <w:r w:rsidR="0051137C" w:rsidRPr="001F6C96">
        <w:rPr>
          <w:rFonts w:eastAsia="Times New Roman" w:cs="Times New Roman"/>
          <w:color w:val="000000"/>
          <w:lang w:eastAsia="da-DK"/>
        </w:rPr>
        <w:t xml:space="preserve"> nugældende regler i</w:t>
      </w:r>
      <w:r w:rsidR="00F71418" w:rsidRPr="001F6C96">
        <w:rPr>
          <w:rFonts w:eastAsia="Times New Roman" w:cs="Times New Roman"/>
          <w:color w:val="000000"/>
          <w:lang w:eastAsia="da-DK"/>
        </w:rPr>
        <w:t xml:space="preserve"> komitélovens § 9.</w:t>
      </w:r>
      <w:r w:rsidRPr="001F6C96">
        <w:rPr>
          <w:rFonts w:eastAsia="Times New Roman" w:cs="Times New Roman"/>
          <w:color w:val="000000"/>
          <w:lang w:eastAsia="da-DK"/>
        </w:rPr>
        <w:t xml:space="preserve"> </w:t>
      </w:r>
    </w:p>
    <w:p w14:paraId="3A24012B" w14:textId="77777777" w:rsidR="00F71418" w:rsidRPr="001F6C96" w:rsidRDefault="00F71418" w:rsidP="00CE3F61">
      <w:pPr>
        <w:rPr>
          <w:rFonts w:eastAsia="Times New Roman" w:cs="Times New Roman"/>
          <w:color w:val="000000"/>
          <w:lang w:eastAsia="da-DK"/>
        </w:rPr>
      </w:pPr>
    </w:p>
    <w:p w14:paraId="124D9FC6" w14:textId="77777777" w:rsidR="00CE3F61" w:rsidRPr="00577043" w:rsidRDefault="00CE3F61" w:rsidP="00CE3F61">
      <w:pPr>
        <w:rPr>
          <w:rFonts w:eastAsia="Times New Roman" w:cs="Times New Roman"/>
          <w:color w:val="000000"/>
          <w:lang w:eastAsia="da-DK"/>
        </w:rPr>
      </w:pPr>
      <w:r w:rsidRPr="001F6C96">
        <w:rPr>
          <w:rFonts w:eastAsia="Times New Roman" w:cs="Times New Roman"/>
          <w:color w:val="000000"/>
          <w:lang w:eastAsia="da-DK"/>
        </w:rPr>
        <w:t xml:space="preserve">Det </w:t>
      </w:r>
      <w:r w:rsidR="00861C34" w:rsidRPr="001F6C96">
        <w:rPr>
          <w:rFonts w:eastAsia="Times New Roman" w:cs="Times New Roman"/>
          <w:color w:val="000000"/>
          <w:lang w:eastAsia="da-DK"/>
        </w:rPr>
        <w:t xml:space="preserve">er imidlertid fastsat i forordningens </w:t>
      </w:r>
      <w:r w:rsidR="00195099" w:rsidRPr="00577043">
        <w:rPr>
          <w:rFonts w:eastAsia="Times New Roman" w:cs="Times New Roman"/>
          <w:bCs/>
          <w:color w:val="000000"/>
          <w:lang w:eastAsia="da-DK"/>
        </w:rPr>
        <w:t>art</w:t>
      </w:r>
      <w:r w:rsidR="00195099">
        <w:rPr>
          <w:rFonts w:eastAsia="Times New Roman" w:cs="Times New Roman"/>
          <w:bCs/>
          <w:color w:val="000000"/>
          <w:lang w:eastAsia="da-DK"/>
        </w:rPr>
        <w:t>ikel</w:t>
      </w:r>
      <w:r w:rsidR="00861C34" w:rsidRPr="001F6C96">
        <w:rPr>
          <w:rFonts w:eastAsia="Times New Roman" w:cs="Times New Roman"/>
          <w:color w:val="000000"/>
          <w:lang w:eastAsia="da-DK"/>
        </w:rPr>
        <w:t xml:space="preserve"> 29, stk. 8, at forordningen ikke berører national ret, der kræver, </w:t>
      </w:r>
      <w:r w:rsidR="00861C34" w:rsidRPr="00577043">
        <w:rPr>
          <w:rFonts w:eastAsia="Times New Roman" w:cs="Times New Roman"/>
          <w:color w:val="000000"/>
          <w:lang w:eastAsia="da-DK"/>
        </w:rPr>
        <w:t>at en mindreårig, som er i stand til at danne sig en mening og vurdere de oplysninger, vedkommende får, selv skal indvillige i at deltage i et klinisk forsøg oven i det informerede samtykke, der gives af den retligt udpegede repræsentant.</w:t>
      </w:r>
      <w:r w:rsidR="00F71418" w:rsidRPr="00577043">
        <w:rPr>
          <w:rFonts w:eastAsia="Times New Roman" w:cs="Times New Roman"/>
          <w:color w:val="000000"/>
          <w:lang w:eastAsia="da-DK"/>
        </w:rPr>
        <w:t xml:space="preserve"> </w:t>
      </w:r>
      <w:r w:rsidR="003776FC" w:rsidRPr="00577043">
        <w:rPr>
          <w:rFonts w:eastAsia="Times New Roman" w:cs="Times New Roman"/>
          <w:color w:val="000000"/>
          <w:lang w:eastAsia="da-DK"/>
        </w:rPr>
        <w:t xml:space="preserve">Det følger </w:t>
      </w:r>
      <w:r w:rsidR="00F71418" w:rsidRPr="00577043">
        <w:rPr>
          <w:rFonts w:eastAsia="Times New Roman" w:cs="Times New Roman"/>
          <w:color w:val="000000"/>
          <w:lang w:eastAsia="da-DK"/>
        </w:rPr>
        <w:t xml:space="preserve">endvidere </w:t>
      </w:r>
      <w:r w:rsidR="003776FC" w:rsidRPr="00577043">
        <w:rPr>
          <w:rFonts w:eastAsia="Times New Roman" w:cs="Times New Roman"/>
          <w:color w:val="000000"/>
          <w:lang w:eastAsia="da-DK"/>
        </w:rPr>
        <w:t xml:space="preserve">af </w:t>
      </w:r>
      <w:r w:rsidR="00195099" w:rsidRPr="00577043">
        <w:rPr>
          <w:rFonts w:eastAsia="Times New Roman" w:cs="Times New Roman"/>
          <w:bCs/>
          <w:color w:val="000000"/>
          <w:lang w:eastAsia="da-DK"/>
        </w:rPr>
        <w:t>art</w:t>
      </w:r>
      <w:r w:rsidR="00195099">
        <w:rPr>
          <w:rFonts w:eastAsia="Times New Roman" w:cs="Times New Roman"/>
          <w:bCs/>
          <w:color w:val="000000"/>
          <w:lang w:eastAsia="da-DK"/>
        </w:rPr>
        <w:t>ikel</w:t>
      </w:r>
      <w:r w:rsidRPr="00577043">
        <w:rPr>
          <w:rFonts w:eastAsia="Times New Roman" w:cs="Times New Roman"/>
          <w:color w:val="000000"/>
          <w:lang w:eastAsia="da-DK"/>
        </w:rPr>
        <w:t xml:space="preserve"> 12 i FN’s konvention af 20. november 1989 om Barnets Rettigheder, som </w:t>
      </w:r>
      <w:r w:rsidR="00B7531F" w:rsidRPr="00577043">
        <w:rPr>
          <w:rFonts w:eastAsia="Times New Roman" w:cs="Times New Roman"/>
          <w:color w:val="000000"/>
          <w:lang w:eastAsia="da-DK"/>
        </w:rPr>
        <w:t xml:space="preserve">Danmark har </w:t>
      </w:r>
      <w:r w:rsidRPr="00577043">
        <w:rPr>
          <w:rFonts w:eastAsia="Times New Roman" w:cs="Times New Roman"/>
          <w:color w:val="000000"/>
          <w:lang w:eastAsia="da-DK"/>
        </w:rPr>
        <w:t>ratificeret, at deltagerstaterne skal sikre et barn, der er i stand til at udforme sine egne synspunkter, retten til frit at udtrykke disse synspunkter i alle forhold, der vedrører barnet; og at barnets synspunkter skal tillægges passende vægt i overensstemmelse med dets alder og mode</w:t>
      </w:r>
      <w:r w:rsidR="00442FD0" w:rsidRPr="00577043">
        <w:rPr>
          <w:rFonts w:eastAsia="Times New Roman" w:cs="Times New Roman"/>
          <w:color w:val="000000"/>
          <w:lang w:eastAsia="da-DK"/>
        </w:rPr>
        <w:t>n</w:t>
      </w:r>
      <w:r w:rsidRPr="00577043">
        <w:rPr>
          <w:rFonts w:eastAsia="Times New Roman" w:cs="Times New Roman"/>
          <w:color w:val="000000"/>
          <w:lang w:eastAsia="da-DK"/>
        </w:rPr>
        <w:t xml:space="preserve">hed. </w:t>
      </w:r>
    </w:p>
    <w:p w14:paraId="46F7178A" w14:textId="77777777" w:rsidR="00CE3F61" w:rsidRPr="00577043" w:rsidRDefault="00CE3F61" w:rsidP="00CE3F61">
      <w:pPr>
        <w:rPr>
          <w:rFonts w:eastAsia="Times New Roman" w:cs="Times New Roman"/>
          <w:color w:val="000000"/>
          <w:lang w:eastAsia="da-DK"/>
        </w:rPr>
      </w:pPr>
    </w:p>
    <w:p w14:paraId="104EF435" w14:textId="77777777" w:rsidR="00FF20CA" w:rsidRPr="00577043" w:rsidRDefault="00CE3F61" w:rsidP="00CE3F61">
      <w:pPr>
        <w:rPr>
          <w:rFonts w:eastAsia="Times New Roman" w:cs="Times New Roman"/>
          <w:color w:val="000000"/>
          <w:lang w:eastAsia="da-DK"/>
        </w:rPr>
      </w:pPr>
      <w:r w:rsidRPr="00577043">
        <w:rPr>
          <w:rFonts w:eastAsia="Times New Roman" w:cs="Times New Roman"/>
          <w:color w:val="000000"/>
          <w:lang w:eastAsia="da-DK"/>
        </w:rPr>
        <w:t>Det foreslås på den baggrund</w:t>
      </w:r>
      <w:r w:rsidR="0051137C" w:rsidRPr="00577043">
        <w:rPr>
          <w:rFonts w:eastAsia="Times New Roman" w:cs="Times New Roman"/>
          <w:color w:val="000000"/>
          <w:lang w:eastAsia="da-DK"/>
        </w:rPr>
        <w:t xml:space="preserve"> med § </w:t>
      </w:r>
      <w:r w:rsidR="004C3545">
        <w:rPr>
          <w:rFonts w:eastAsia="Times New Roman" w:cs="Times New Roman"/>
          <w:color w:val="000000"/>
          <w:lang w:eastAsia="da-DK"/>
        </w:rPr>
        <w:t>3</w:t>
      </w:r>
      <w:r w:rsidRPr="00577043">
        <w:rPr>
          <w:rFonts w:eastAsia="Times New Roman" w:cs="Times New Roman"/>
          <w:color w:val="000000"/>
          <w:lang w:eastAsia="da-DK"/>
        </w:rPr>
        <w:t xml:space="preserve">, at et klinisk forsøg kun må gennemføres på en forsøgsperson, </w:t>
      </w:r>
      <w:r w:rsidR="003776FC" w:rsidRPr="00577043">
        <w:rPr>
          <w:rFonts w:eastAsia="Times New Roman" w:cs="Times New Roman"/>
          <w:color w:val="000000"/>
          <w:lang w:eastAsia="da-DK"/>
        </w:rPr>
        <w:t>som</w:t>
      </w:r>
      <w:r w:rsidRPr="00577043">
        <w:rPr>
          <w:rFonts w:eastAsia="Times New Roman" w:cs="Times New Roman"/>
          <w:color w:val="000000"/>
          <w:lang w:eastAsia="da-DK"/>
        </w:rPr>
        <w:t xml:space="preserve"> er fyldt 15 år, men som ikke </w:t>
      </w:r>
      <w:r w:rsidR="00FF20CA" w:rsidRPr="00577043">
        <w:rPr>
          <w:rFonts w:eastAsia="Times New Roman" w:cs="Times New Roman"/>
          <w:color w:val="000000"/>
          <w:lang w:eastAsia="da-DK"/>
        </w:rPr>
        <w:t xml:space="preserve">er </w:t>
      </w:r>
      <w:r w:rsidRPr="00577043">
        <w:rPr>
          <w:rFonts w:eastAsia="Times New Roman" w:cs="Times New Roman"/>
          <w:color w:val="000000"/>
          <w:lang w:eastAsia="da-DK"/>
        </w:rPr>
        <w:t xml:space="preserve">myndig, såfremt forsøgspersonen tillige med forældremyndighedens indehaver giver samtykke hertil.  </w:t>
      </w:r>
    </w:p>
    <w:p w14:paraId="3FFB5E62" w14:textId="77777777" w:rsidR="00FF20CA" w:rsidRPr="00577043" w:rsidRDefault="00FF20CA" w:rsidP="00CE3F61">
      <w:pPr>
        <w:rPr>
          <w:rFonts w:eastAsia="Times New Roman" w:cs="Times New Roman"/>
          <w:color w:val="000000"/>
          <w:lang w:eastAsia="da-DK"/>
        </w:rPr>
      </w:pPr>
    </w:p>
    <w:p w14:paraId="2960BA3B" w14:textId="77777777" w:rsidR="00CE3F61" w:rsidRPr="00577043" w:rsidRDefault="007103F1" w:rsidP="00CE3F61">
      <w:pPr>
        <w:rPr>
          <w:rFonts w:eastAsia="Times New Roman" w:cs="Times New Roman"/>
          <w:color w:val="000000"/>
          <w:lang w:eastAsia="da-DK"/>
        </w:rPr>
      </w:pPr>
      <w:r w:rsidRPr="00577043">
        <w:rPr>
          <w:rFonts w:eastAsia="Times New Roman" w:cs="Times New Roman"/>
          <w:color w:val="000000"/>
          <w:lang w:eastAsia="da-DK"/>
        </w:rPr>
        <w:t xml:space="preserve">Tilsvarende </w:t>
      </w:r>
      <w:r w:rsidR="00FF20CA" w:rsidRPr="00577043">
        <w:rPr>
          <w:rFonts w:eastAsia="Times New Roman" w:cs="Times New Roman"/>
          <w:color w:val="000000"/>
          <w:lang w:eastAsia="da-DK"/>
        </w:rPr>
        <w:t xml:space="preserve">bestemmelse </w:t>
      </w:r>
      <w:r w:rsidRPr="00577043">
        <w:rPr>
          <w:rFonts w:eastAsia="Times New Roman" w:cs="Times New Roman"/>
          <w:color w:val="000000"/>
          <w:lang w:eastAsia="da-DK"/>
        </w:rPr>
        <w:t>foreslås fastsat for øvrige sundhedsvidenskabelige f</w:t>
      </w:r>
      <w:r w:rsidR="003776FC" w:rsidRPr="00577043">
        <w:rPr>
          <w:rFonts w:eastAsia="Times New Roman" w:cs="Times New Roman"/>
          <w:color w:val="000000"/>
          <w:lang w:eastAsia="da-DK"/>
        </w:rPr>
        <w:t xml:space="preserve">orskningsprojekter, jf. bemærkninger til </w:t>
      </w:r>
      <w:r w:rsidR="00FF20CA" w:rsidRPr="00577043">
        <w:rPr>
          <w:rFonts w:eastAsia="Times New Roman" w:cs="Times New Roman"/>
          <w:color w:val="000000"/>
          <w:lang w:eastAsia="da-DK"/>
        </w:rPr>
        <w:t xml:space="preserve">komitélovens </w:t>
      </w:r>
      <w:r w:rsidR="003776FC" w:rsidRPr="00577043">
        <w:rPr>
          <w:rFonts w:eastAsia="Times New Roman" w:cs="Times New Roman"/>
          <w:color w:val="000000"/>
          <w:lang w:eastAsia="da-DK"/>
        </w:rPr>
        <w:t>§ 29, stk. 1, nr. 8 a</w:t>
      </w:r>
      <w:r w:rsidRPr="00577043">
        <w:rPr>
          <w:rFonts w:eastAsia="Times New Roman" w:cs="Times New Roman"/>
          <w:color w:val="000000"/>
          <w:lang w:eastAsia="da-DK"/>
        </w:rPr>
        <w:t>.</w:t>
      </w:r>
    </w:p>
    <w:p w14:paraId="7ED54119" w14:textId="77777777" w:rsidR="00CE3F61" w:rsidRDefault="00CE3F61" w:rsidP="0045571D">
      <w:pPr>
        <w:rPr>
          <w:rFonts w:eastAsia="Times New Roman" w:cs="Times New Roman"/>
          <w:color w:val="000000"/>
          <w:lang w:eastAsia="da-DK"/>
        </w:rPr>
      </w:pPr>
    </w:p>
    <w:p w14:paraId="562F49DA" w14:textId="77777777" w:rsidR="00FE577C" w:rsidRPr="00577043" w:rsidRDefault="00FE577C" w:rsidP="00FE577C">
      <w:pPr>
        <w:pStyle w:val="Overskrift7"/>
        <w:rPr>
          <w:rFonts w:eastAsia="Times New Roman"/>
          <w:lang w:eastAsia="da-DK"/>
        </w:rPr>
      </w:pPr>
      <w:r w:rsidRPr="00577043">
        <w:rPr>
          <w:rFonts w:eastAsia="Times New Roman"/>
          <w:lang w:eastAsia="da-DK"/>
        </w:rPr>
        <w:t>2.</w:t>
      </w:r>
      <w:r w:rsidR="00B15DD5">
        <w:rPr>
          <w:rFonts w:eastAsia="Times New Roman"/>
          <w:lang w:eastAsia="da-DK"/>
        </w:rPr>
        <w:t>9</w:t>
      </w:r>
      <w:r w:rsidRPr="00577043">
        <w:rPr>
          <w:rFonts w:eastAsia="Times New Roman"/>
          <w:lang w:eastAsia="da-DK"/>
        </w:rPr>
        <w:t>.2.</w:t>
      </w:r>
      <w:r>
        <w:rPr>
          <w:rFonts w:eastAsia="Times New Roman"/>
          <w:lang w:eastAsia="da-DK"/>
        </w:rPr>
        <w:t>2</w:t>
      </w:r>
      <w:r w:rsidRPr="00577043">
        <w:rPr>
          <w:rFonts w:eastAsia="Times New Roman"/>
          <w:lang w:eastAsia="da-DK"/>
        </w:rPr>
        <w:t>. Personer under værgemål</w:t>
      </w:r>
    </w:p>
    <w:p w14:paraId="6F310E14" w14:textId="77777777" w:rsidR="00FE577C" w:rsidRPr="00577043" w:rsidRDefault="00FE577C" w:rsidP="00FE577C">
      <w:pPr>
        <w:rPr>
          <w:rFonts w:eastAsia="Times New Roman" w:cs="Times New Roman"/>
          <w:color w:val="000000"/>
          <w:lang w:eastAsia="da-DK"/>
        </w:rPr>
      </w:pPr>
      <w:r w:rsidRPr="00577043">
        <w:rPr>
          <w:rFonts w:eastAsia="Times New Roman" w:cs="Times New Roman"/>
          <w:color w:val="000000"/>
          <w:lang w:eastAsia="da-DK"/>
        </w:rPr>
        <w:t>Det foreslås, at videreføre bestemmelser om stedfortrædende samtykke for forsøgspersoner under værgemål, jf. komitélovens § 4, stk. 2.</w:t>
      </w:r>
    </w:p>
    <w:p w14:paraId="47F605F5" w14:textId="77777777" w:rsidR="00FE577C" w:rsidRPr="00577043" w:rsidRDefault="00FE577C" w:rsidP="0045571D">
      <w:pPr>
        <w:rPr>
          <w:rFonts w:eastAsia="Times New Roman" w:cs="Times New Roman"/>
          <w:color w:val="000000"/>
          <w:lang w:eastAsia="da-DK"/>
        </w:rPr>
      </w:pPr>
    </w:p>
    <w:p w14:paraId="444F6909" w14:textId="77777777" w:rsidR="0059442C" w:rsidRPr="00577043" w:rsidRDefault="00D14BED" w:rsidP="0059442C">
      <w:pPr>
        <w:pStyle w:val="Overskrift7"/>
        <w:rPr>
          <w:rFonts w:eastAsia="Times New Roman"/>
          <w:lang w:eastAsia="da-DK"/>
        </w:rPr>
      </w:pPr>
      <w:r w:rsidRPr="00577043">
        <w:rPr>
          <w:rFonts w:eastAsia="Times New Roman"/>
          <w:lang w:eastAsia="da-DK"/>
        </w:rPr>
        <w:t>2.</w:t>
      </w:r>
      <w:r w:rsidR="00B15DD5">
        <w:rPr>
          <w:rFonts w:eastAsia="Times New Roman"/>
          <w:lang w:eastAsia="da-DK"/>
        </w:rPr>
        <w:t>9</w:t>
      </w:r>
      <w:r w:rsidRPr="00577043">
        <w:rPr>
          <w:rFonts w:eastAsia="Times New Roman"/>
          <w:lang w:eastAsia="da-DK"/>
        </w:rPr>
        <w:t>.2.3.</w:t>
      </w:r>
      <w:r w:rsidR="0059442C" w:rsidRPr="00577043">
        <w:rPr>
          <w:rFonts w:eastAsia="Times New Roman"/>
          <w:lang w:eastAsia="da-DK"/>
        </w:rPr>
        <w:t xml:space="preserve">  </w:t>
      </w:r>
      <w:r w:rsidR="0093475A" w:rsidRPr="00577043">
        <w:rPr>
          <w:rFonts w:eastAsia="Times New Roman"/>
          <w:lang w:eastAsia="da-DK"/>
        </w:rPr>
        <w:t>Øvrige f</w:t>
      </w:r>
      <w:r w:rsidR="00B309D4" w:rsidRPr="00577043">
        <w:rPr>
          <w:rFonts w:eastAsia="Times New Roman"/>
          <w:lang w:eastAsia="da-DK"/>
        </w:rPr>
        <w:t>orsøgspersoner uden handleevne</w:t>
      </w:r>
      <w:r w:rsidR="0093475A" w:rsidRPr="00577043">
        <w:rPr>
          <w:rFonts w:eastAsia="Times New Roman"/>
          <w:lang w:eastAsia="da-DK"/>
        </w:rPr>
        <w:t xml:space="preserve"> (øvrige voksne inhabile)</w:t>
      </w:r>
    </w:p>
    <w:p w14:paraId="357D60BA" w14:textId="77777777" w:rsidR="00B82FFF" w:rsidRPr="00577043" w:rsidRDefault="00027639" w:rsidP="00027639">
      <w:pPr>
        <w:rPr>
          <w:rFonts w:eastAsia="Times New Roman" w:cs="Times New Roman"/>
          <w:color w:val="000000"/>
          <w:lang w:eastAsia="da-DK"/>
        </w:rPr>
      </w:pPr>
      <w:r w:rsidRPr="00577043">
        <w:rPr>
          <w:rFonts w:eastAsia="Times New Roman" w:cs="Times New Roman"/>
          <w:color w:val="000000"/>
          <w:lang w:eastAsia="da-DK"/>
        </w:rPr>
        <w:t xml:space="preserve">Det foreslås med § </w:t>
      </w:r>
      <w:r w:rsidR="00E00C5B" w:rsidRPr="00577043">
        <w:rPr>
          <w:rFonts w:eastAsia="Times New Roman" w:cs="Times New Roman"/>
          <w:color w:val="000000"/>
          <w:lang w:eastAsia="da-DK"/>
        </w:rPr>
        <w:t xml:space="preserve">3, stk. 3, </w:t>
      </w:r>
      <w:r w:rsidR="00697A6C" w:rsidRPr="00577043">
        <w:rPr>
          <w:rFonts w:eastAsia="Times New Roman" w:cs="Times New Roman"/>
          <w:color w:val="000000"/>
          <w:lang w:eastAsia="da-DK"/>
        </w:rPr>
        <w:t>at stedfortrædende samtykke</w:t>
      </w:r>
      <w:r w:rsidR="0049493C" w:rsidRPr="00577043">
        <w:rPr>
          <w:rFonts w:eastAsia="Times New Roman" w:cs="Times New Roman"/>
          <w:color w:val="000000"/>
          <w:lang w:eastAsia="da-DK"/>
        </w:rPr>
        <w:t xml:space="preserve"> </w:t>
      </w:r>
      <w:r w:rsidR="00B309D4" w:rsidRPr="00577043">
        <w:rPr>
          <w:rFonts w:eastAsia="Times New Roman" w:cs="Times New Roman"/>
          <w:color w:val="000000"/>
          <w:lang w:eastAsia="da-DK"/>
        </w:rPr>
        <w:t xml:space="preserve">på vegne af forsøgspersoner uden handleevne til deltagelse </w:t>
      </w:r>
      <w:r w:rsidR="0049493C" w:rsidRPr="00577043">
        <w:rPr>
          <w:rFonts w:eastAsia="Times New Roman" w:cs="Times New Roman"/>
          <w:color w:val="000000"/>
          <w:lang w:eastAsia="da-DK"/>
        </w:rPr>
        <w:t>i kliniske forsøg med lægemidler</w:t>
      </w:r>
      <w:r w:rsidR="00697A6C" w:rsidRPr="00577043">
        <w:rPr>
          <w:rFonts w:eastAsia="Times New Roman" w:cs="Times New Roman"/>
          <w:color w:val="000000"/>
          <w:lang w:eastAsia="da-DK"/>
        </w:rPr>
        <w:t xml:space="preserve"> ska</w:t>
      </w:r>
      <w:r w:rsidR="00B82FFF" w:rsidRPr="00577043">
        <w:rPr>
          <w:rFonts w:eastAsia="Times New Roman" w:cs="Times New Roman"/>
          <w:color w:val="000000"/>
          <w:lang w:eastAsia="da-DK"/>
        </w:rPr>
        <w:t>l</w:t>
      </w:r>
      <w:r w:rsidR="00697A6C" w:rsidRPr="00577043">
        <w:rPr>
          <w:rFonts w:eastAsia="Times New Roman" w:cs="Times New Roman"/>
          <w:color w:val="000000"/>
          <w:lang w:eastAsia="da-DK"/>
        </w:rPr>
        <w:t xml:space="preserve"> indhentes </w:t>
      </w:r>
      <w:r w:rsidR="009D4C1F" w:rsidRPr="00577043">
        <w:rPr>
          <w:rFonts w:eastAsia="Times New Roman" w:cs="Times New Roman"/>
          <w:color w:val="000000"/>
          <w:lang w:eastAsia="da-DK"/>
        </w:rPr>
        <w:t>fra nærmeste pårørende samt en forsøgsværge</w:t>
      </w:r>
      <w:r w:rsidR="00697A6C" w:rsidRPr="00577043">
        <w:rPr>
          <w:rFonts w:eastAsia="Times New Roman" w:cs="Times New Roman"/>
          <w:color w:val="000000"/>
          <w:lang w:eastAsia="da-DK"/>
        </w:rPr>
        <w:t xml:space="preserve">. </w:t>
      </w:r>
    </w:p>
    <w:p w14:paraId="25F48CF9" w14:textId="77777777" w:rsidR="00B82FFF" w:rsidRPr="00577043" w:rsidRDefault="00B82FFF" w:rsidP="00027639">
      <w:pPr>
        <w:rPr>
          <w:rFonts w:eastAsia="Times New Roman" w:cs="Times New Roman"/>
          <w:color w:val="000000"/>
          <w:lang w:eastAsia="da-DK"/>
        </w:rPr>
      </w:pPr>
    </w:p>
    <w:p w14:paraId="31D0F849" w14:textId="77777777" w:rsidR="00027639" w:rsidRPr="00577043" w:rsidRDefault="00697A6C" w:rsidP="00027639">
      <w:pPr>
        <w:rPr>
          <w:rFonts w:eastAsia="Times New Roman" w:cs="Times New Roman"/>
          <w:color w:val="000000"/>
          <w:lang w:eastAsia="da-DK"/>
        </w:rPr>
      </w:pPr>
      <w:r w:rsidRPr="00577043">
        <w:rPr>
          <w:rFonts w:eastAsia="Times New Roman" w:cs="Times New Roman"/>
          <w:color w:val="000000"/>
          <w:lang w:eastAsia="da-DK"/>
        </w:rPr>
        <w:t xml:space="preserve">Tilsvarende foreslås for øvrige sundhedsvidenskabelige forskningsprojekter, jf. den foreslåede ændring af komitélovens § </w:t>
      </w:r>
      <w:r w:rsidR="009E642E" w:rsidRPr="00577043">
        <w:rPr>
          <w:rFonts w:eastAsia="Times New Roman" w:cs="Times New Roman"/>
          <w:color w:val="000000"/>
          <w:lang w:eastAsia="da-DK"/>
        </w:rPr>
        <w:t>4</w:t>
      </w:r>
      <w:r w:rsidRPr="00577043">
        <w:rPr>
          <w:rFonts w:eastAsia="Times New Roman" w:cs="Times New Roman"/>
          <w:color w:val="000000"/>
          <w:lang w:eastAsia="da-DK"/>
        </w:rPr>
        <w:t xml:space="preserve">, stk. 3. </w:t>
      </w:r>
    </w:p>
    <w:p w14:paraId="38D1DB77" w14:textId="77777777" w:rsidR="00027639" w:rsidRPr="00577043" w:rsidRDefault="00027639" w:rsidP="00027639">
      <w:pPr>
        <w:rPr>
          <w:rFonts w:eastAsia="Times New Roman" w:cs="Times New Roman"/>
          <w:color w:val="000000"/>
          <w:lang w:eastAsia="da-DK"/>
        </w:rPr>
      </w:pPr>
    </w:p>
    <w:p w14:paraId="65DD40FD" w14:textId="77777777" w:rsidR="00801906" w:rsidRDefault="00801906" w:rsidP="00801906">
      <w:pPr>
        <w:rPr>
          <w:rFonts w:eastAsia="Times New Roman" w:cs="Times New Roman"/>
          <w:color w:val="000000"/>
          <w:lang w:eastAsia="da-DK"/>
        </w:rPr>
      </w:pPr>
      <w:r w:rsidRPr="00577043">
        <w:rPr>
          <w:rFonts w:eastAsia="Times New Roman" w:cs="Times New Roman"/>
          <w:color w:val="000000"/>
          <w:lang w:eastAsia="da-DK"/>
        </w:rPr>
        <w:t>Nærmeste pårørende skal som udgangspunkt findes blandt forsøgspersonens samle</w:t>
      </w:r>
      <w:r w:rsidR="009E642E" w:rsidRPr="00577043">
        <w:rPr>
          <w:rFonts w:eastAsia="Times New Roman" w:cs="Times New Roman"/>
          <w:color w:val="000000"/>
          <w:lang w:eastAsia="da-DK"/>
        </w:rPr>
        <w:t>ve</w:t>
      </w:r>
      <w:r w:rsidRPr="00577043">
        <w:rPr>
          <w:rFonts w:eastAsia="Times New Roman" w:cs="Times New Roman"/>
          <w:color w:val="000000"/>
          <w:lang w:eastAsia="da-DK"/>
        </w:rPr>
        <w:t>nde ægtefælle eller samlever, slægtninge i lige linje og søskende. En konkret vurdering vil afgøre, hvem der bland</w:t>
      </w:r>
      <w:r w:rsidR="009E642E" w:rsidRPr="00577043">
        <w:rPr>
          <w:rFonts w:eastAsia="Times New Roman" w:cs="Times New Roman"/>
          <w:color w:val="000000"/>
          <w:lang w:eastAsia="da-DK"/>
        </w:rPr>
        <w:t>t</w:t>
      </w:r>
      <w:r w:rsidRPr="00577043">
        <w:rPr>
          <w:rFonts w:eastAsia="Times New Roman" w:cs="Times New Roman"/>
          <w:color w:val="000000"/>
          <w:lang w:eastAsia="da-DK"/>
        </w:rPr>
        <w:t xml:space="preserve"> disse er den nærmeste pårørende. </w:t>
      </w:r>
    </w:p>
    <w:p w14:paraId="7413252A" w14:textId="77777777" w:rsidR="00E02960" w:rsidRPr="00577043" w:rsidRDefault="00E02960" w:rsidP="00801906">
      <w:pPr>
        <w:rPr>
          <w:rFonts w:eastAsia="Times New Roman" w:cs="Times New Roman"/>
          <w:color w:val="000000"/>
          <w:lang w:eastAsia="da-DK"/>
        </w:rPr>
      </w:pPr>
    </w:p>
    <w:p w14:paraId="1D85B4BF" w14:textId="77777777" w:rsidR="009E642E" w:rsidRPr="00577043" w:rsidRDefault="00801906" w:rsidP="0023698D">
      <w:pPr>
        <w:rPr>
          <w:rFonts w:eastAsia="Times New Roman" w:cs="Times New Roman"/>
          <w:color w:val="000000"/>
          <w:lang w:eastAsia="da-DK"/>
        </w:rPr>
      </w:pPr>
      <w:r w:rsidRPr="00577043">
        <w:rPr>
          <w:rFonts w:eastAsia="Times New Roman" w:cs="Times New Roman"/>
          <w:color w:val="000000"/>
          <w:lang w:eastAsia="da-DK"/>
        </w:rPr>
        <w:t>Når der afgives stedfortrædende samtykke i forbindelse med forsøg på personer uden handleevne, der ikke er under personligt værgemål, og hvor der derfor ikke er taget formelt stilling til, hvem der har beføjelse til at varetage den inhabiles anliggender, skal der for at sikre forsøgspersonen uden handleevne en ekstra beskyttelse tillige indhentes samtykke fra en person, som i kraft i sin professionelle funktion kan gøre sig bekendt med dels det kliniske forsøg, dels patientens tilstand og konsekvenserne for patienten af at deltage i forsøge</w:t>
      </w:r>
      <w:r w:rsidR="00F66458">
        <w:rPr>
          <w:rFonts w:eastAsia="Times New Roman" w:cs="Times New Roman"/>
          <w:color w:val="000000"/>
          <w:lang w:eastAsia="da-DK"/>
        </w:rPr>
        <w:t>t</w:t>
      </w:r>
      <w:r w:rsidRPr="00577043">
        <w:rPr>
          <w:rFonts w:eastAsia="Times New Roman" w:cs="Times New Roman"/>
          <w:color w:val="000000"/>
          <w:lang w:eastAsia="da-DK"/>
        </w:rPr>
        <w:t>. Efter gældende regler er denne person som nævnt forsøgspersonens praktiserende læge.</w:t>
      </w:r>
      <w:r w:rsidR="0023698D" w:rsidRPr="00577043">
        <w:rPr>
          <w:rFonts w:eastAsia="Times New Roman" w:cs="Times New Roman"/>
          <w:color w:val="000000"/>
          <w:lang w:eastAsia="da-DK"/>
        </w:rPr>
        <w:t xml:space="preserve"> Det foreslås, at den praktiserende læge erstattes af </w:t>
      </w:r>
      <w:r w:rsidR="009E642E" w:rsidRPr="00577043">
        <w:rPr>
          <w:rFonts w:eastAsia="Times New Roman" w:cs="Times New Roman"/>
          <w:color w:val="000000"/>
          <w:lang w:eastAsia="da-DK"/>
        </w:rPr>
        <w:t>en</w:t>
      </w:r>
      <w:r w:rsidR="0023698D" w:rsidRPr="00577043">
        <w:rPr>
          <w:rFonts w:eastAsia="Times New Roman" w:cs="Times New Roman"/>
          <w:color w:val="000000"/>
          <w:lang w:eastAsia="da-DK"/>
        </w:rPr>
        <w:t xml:space="preserve"> forsøgsværge, som </w:t>
      </w:r>
      <w:r w:rsidR="00F66458">
        <w:rPr>
          <w:rFonts w:eastAsia="Times New Roman" w:cs="Times New Roman"/>
          <w:color w:val="000000"/>
          <w:lang w:eastAsia="da-DK"/>
        </w:rPr>
        <w:t>ligeledes</w:t>
      </w:r>
      <w:r w:rsidR="0023698D" w:rsidRPr="00577043">
        <w:rPr>
          <w:rFonts w:eastAsia="Times New Roman" w:cs="Times New Roman"/>
          <w:color w:val="000000"/>
          <w:lang w:eastAsia="da-DK"/>
        </w:rPr>
        <w:t xml:space="preserve"> er</w:t>
      </w:r>
      <w:r w:rsidR="00F66458">
        <w:rPr>
          <w:rFonts w:eastAsia="Times New Roman" w:cs="Times New Roman"/>
          <w:color w:val="000000"/>
          <w:lang w:eastAsia="da-DK"/>
        </w:rPr>
        <w:t xml:space="preserve"> en læge, der skal varetage forsøgspersonens interesser.</w:t>
      </w:r>
      <w:r w:rsidR="0023698D" w:rsidRPr="00577043">
        <w:rPr>
          <w:rFonts w:eastAsia="Times New Roman" w:cs="Times New Roman"/>
          <w:color w:val="000000"/>
          <w:lang w:eastAsia="da-DK"/>
        </w:rPr>
        <w:t xml:space="preserve"> </w:t>
      </w:r>
    </w:p>
    <w:p w14:paraId="2D73B9DC" w14:textId="77777777" w:rsidR="009E642E" w:rsidRPr="00577043" w:rsidRDefault="009E642E" w:rsidP="0023698D">
      <w:pPr>
        <w:rPr>
          <w:rFonts w:eastAsia="Times New Roman" w:cs="Times New Roman"/>
          <w:color w:val="000000"/>
          <w:lang w:eastAsia="da-DK"/>
        </w:rPr>
      </w:pPr>
    </w:p>
    <w:p w14:paraId="4BAE08C9" w14:textId="77777777" w:rsidR="0023698D" w:rsidRPr="00577043" w:rsidRDefault="009E642E" w:rsidP="0023698D">
      <w:pPr>
        <w:rPr>
          <w:rFonts w:eastAsia="Times New Roman" w:cs="Times New Roman"/>
          <w:color w:val="000000"/>
          <w:lang w:eastAsia="da-DK"/>
        </w:rPr>
      </w:pPr>
      <w:r w:rsidRPr="00577043">
        <w:rPr>
          <w:rFonts w:eastAsia="Times New Roman" w:cs="Times New Roman"/>
          <w:color w:val="000000"/>
          <w:lang w:eastAsia="da-DK"/>
        </w:rPr>
        <w:t xml:space="preserve">Forsøgsværgen skal være </w:t>
      </w:r>
      <w:r w:rsidR="0023698D" w:rsidRPr="00577043">
        <w:rPr>
          <w:rFonts w:eastAsia="Times New Roman" w:cs="Times New Roman"/>
          <w:color w:val="000000"/>
          <w:lang w:eastAsia="da-DK"/>
        </w:rPr>
        <w:t>en læge, som ud fra sit kendskab til det faglige område</w:t>
      </w:r>
      <w:r w:rsidRPr="00577043">
        <w:rPr>
          <w:rFonts w:eastAsia="Times New Roman" w:cs="Times New Roman"/>
          <w:color w:val="000000"/>
          <w:lang w:eastAsia="da-DK"/>
        </w:rPr>
        <w:t xml:space="preserve"> for forsøget</w:t>
      </w:r>
      <w:r w:rsidR="0023698D" w:rsidRPr="00577043">
        <w:rPr>
          <w:rFonts w:eastAsia="Times New Roman" w:cs="Times New Roman"/>
          <w:color w:val="000000"/>
          <w:lang w:eastAsia="da-DK"/>
        </w:rPr>
        <w:t xml:space="preserve">, </w:t>
      </w:r>
      <w:r w:rsidRPr="00577043">
        <w:rPr>
          <w:rFonts w:eastAsia="Times New Roman" w:cs="Times New Roman"/>
          <w:color w:val="000000"/>
          <w:lang w:eastAsia="da-DK"/>
        </w:rPr>
        <w:t>har</w:t>
      </w:r>
      <w:r w:rsidR="0023698D" w:rsidRPr="00577043">
        <w:rPr>
          <w:rFonts w:eastAsia="Times New Roman" w:cs="Times New Roman"/>
          <w:color w:val="000000"/>
          <w:lang w:eastAsia="da-DK"/>
        </w:rPr>
        <w:t xml:space="preserve"> grundlag for at give samtykke på baggrund af information om det konkrete forsøg og forsøgspersonens tilstand, herunder til de fordele og risici, som fremgår af informationsmateriale</w:t>
      </w:r>
      <w:r w:rsidR="005457DA">
        <w:rPr>
          <w:rFonts w:eastAsia="Times New Roman" w:cs="Times New Roman"/>
          <w:color w:val="000000"/>
          <w:lang w:eastAsia="da-DK"/>
        </w:rPr>
        <w:t>t</w:t>
      </w:r>
      <w:r w:rsidR="0023698D" w:rsidRPr="00577043">
        <w:rPr>
          <w:rFonts w:eastAsia="Times New Roman" w:cs="Times New Roman"/>
          <w:color w:val="000000"/>
          <w:lang w:eastAsia="da-DK"/>
        </w:rPr>
        <w:t xml:space="preserve"> til det godkendte forsøg. </w:t>
      </w:r>
    </w:p>
    <w:p w14:paraId="6E93D504" w14:textId="77777777" w:rsidR="00027639" w:rsidRPr="00577043" w:rsidRDefault="00027639" w:rsidP="00D14BED">
      <w:pPr>
        <w:rPr>
          <w:rFonts w:eastAsia="Times New Roman" w:cs="Times New Roman"/>
          <w:color w:val="000000"/>
          <w:lang w:eastAsia="da-DK"/>
        </w:rPr>
      </w:pPr>
    </w:p>
    <w:p w14:paraId="385FFE07" w14:textId="77777777" w:rsidR="00A2484A" w:rsidRPr="00577043" w:rsidRDefault="00D8520A" w:rsidP="00D00047">
      <w:pPr>
        <w:rPr>
          <w:rFonts w:eastAsia="Times New Roman" w:cs="Times New Roman"/>
          <w:color w:val="000000"/>
          <w:lang w:eastAsia="da-DK"/>
        </w:rPr>
      </w:pPr>
      <w:r w:rsidRPr="00577043">
        <w:rPr>
          <w:rFonts w:eastAsia="Times New Roman" w:cs="Times New Roman"/>
          <w:color w:val="000000"/>
          <w:lang w:eastAsia="da-DK"/>
        </w:rPr>
        <w:lastRenderedPageBreak/>
        <w:t>Fo</w:t>
      </w:r>
      <w:r w:rsidR="00A2484A" w:rsidRPr="00577043">
        <w:rPr>
          <w:rFonts w:eastAsia="Times New Roman" w:cs="Times New Roman"/>
          <w:color w:val="000000"/>
          <w:lang w:eastAsia="da-DK"/>
        </w:rPr>
        <w:t>rsøgsværgebegrebet ændres hermed</w:t>
      </w:r>
      <w:r w:rsidRPr="00577043">
        <w:rPr>
          <w:rFonts w:eastAsia="Times New Roman" w:cs="Times New Roman"/>
          <w:color w:val="000000"/>
          <w:lang w:eastAsia="da-DK"/>
        </w:rPr>
        <w:t xml:space="preserve">, således at </w:t>
      </w:r>
      <w:r w:rsidR="001E1588" w:rsidRPr="00577043">
        <w:rPr>
          <w:rFonts w:eastAsia="Times New Roman" w:cs="Times New Roman"/>
          <w:color w:val="000000"/>
          <w:lang w:eastAsia="da-DK"/>
        </w:rPr>
        <w:t>forsøgsværgen</w:t>
      </w:r>
      <w:r w:rsidRPr="00577043">
        <w:rPr>
          <w:rFonts w:eastAsia="Times New Roman" w:cs="Times New Roman"/>
          <w:color w:val="000000"/>
          <w:lang w:eastAsia="da-DK"/>
        </w:rPr>
        <w:t xml:space="preserve"> </w:t>
      </w:r>
      <w:r w:rsidR="001E1588" w:rsidRPr="00577043">
        <w:rPr>
          <w:rFonts w:eastAsia="Times New Roman" w:cs="Times New Roman"/>
          <w:color w:val="000000"/>
          <w:lang w:eastAsia="da-DK"/>
        </w:rPr>
        <w:t>med lovændringen ikke</w:t>
      </w:r>
      <w:r w:rsidR="009B4D0F" w:rsidRPr="00577043">
        <w:rPr>
          <w:rFonts w:eastAsia="Times New Roman" w:cs="Times New Roman"/>
          <w:color w:val="000000"/>
          <w:lang w:eastAsia="da-DK"/>
        </w:rPr>
        <w:t xml:space="preserve"> er en </w:t>
      </w:r>
      <w:r w:rsidR="00CE1A89" w:rsidRPr="00577043">
        <w:rPr>
          <w:rFonts w:eastAsia="Times New Roman" w:cs="Times New Roman"/>
          <w:color w:val="000000"/>
          <w:lang w:eastAsia="da-DK"/>
        </w:rPr>
        <w:t xml:space="preserve">retlig udpeget </w:t>
      </w:r>
      <w:r w:rsidR="009B4D0F" w:rsidRPr="00577043">
        <w:rPr>
          <w:rFonts w:eastAsia="Times New Roman" w:cs="Times New Roman"/>
          <w:color w:val="000000"/>
          <w:lang w:eastAsia="da-DK"/>
        </w:rPr>
        <w:t xml:space="preserve">repræsentant, som kan </w:t>
      </w:r>
      <w:r w:rsidR="00A2484A" w:rsidRPr="00577043">
        <w:rPr>
          <w:rFonts w:eastAsia="Times New Roman" w:cs="Times New Roman"/>
          <w:color w:val="000000"/>
          <w:lang w:eastAsia="da-DK"/>
        </w:rPr>
        <w:t xml:space="preserve">give samtykke </w:t>
      </w:r>
      <w:r w:rsidRPr="00577043">
        <w:rPr>
          <w:rFonts w:eastAsia="Times New Roman" w:cs="Times New Roman"/>
          <w:color w:val="000000"/>
          <w:lang w:eastAsia="da-DK"/>
        </w:rPr>
        <w:t>forud</w:t>
      </w:r>
      <w:r w:rsidR="009B4D0F" w:rsidRPr="00577043">
        <w:rPr>
          <w:rFonts w:eastAsia="Times New Roman" w:cs="Times New Roman"/>
          <w:color w:val="000000"/>
          <w:lang w:eastAsia="da-DK"/>
        </w:rPr>
        <w:t xml:space="preserve"> for en forsøgspersons deltagelse i forsøg med lægemidler i akutte situationer, </w:t>
      </w:r>
      <w:r w:rsidRPr="00577043">
        <w:rPr>
          <w:rFonts w:eastAsia="Times New Roman" w:cs="Times New Roman"/>
          <w:color w:val="000000"/>
          <w:lang w:eastAsia="da-DK"/>
        </w:rPr>
        <w:t xml:space="preserve">men </w:t>
      </w:r>
      <w:r w:rsidR="001E1588" w:rsidRPr="00577043">
        <w:rPr>
          <w:rFonts w:eastAsia="Times New Roman" w:cs="Times New Roman"/>
          <w:color w:val="000000"/>
          <w:lang w:eastAsia="da-DK"/>
        </w:rPr>
        <w:t xml:space="preserve">i stedet </w:t>
      </w:r>
      <w:r w:rsidR="0056614E">
        <w:rPr>
          <w:rFonts w:eastAsia="Times New Roman" w:cs="Times New Roman"/>
          <w:color w:val="000000"/>
          <w:lang w:eastAsia="da-DK"/>
        </w:rPr>
        <w:t xml:space="preserve">i såvel akutte forsøg som andre forsøg </w:t>
      </w:r>
      <w:r w:rsidRPr="00577043">
        <w:rPr>
          <w:rFonts w:eastAsia="Times New Roman" w:cs="Times New Roman"/>
          <w:color w:val="000000"/>
          <w:lang w:eastAsia="da-DK"/>
        </w:rPr>
        <w:t xml:space="preserve">en </w:t>
      </w:r>
      <w:r w:rsidR="00FD1E5B" w:rsidRPr="00577043">
        <w:rPr>
          <w:rFonts w:eastAsia="Times New Roman" w:cs="Times New Roman"/>
          <w:color w:val="000000"/>
          <w:lang w:eastAsia="da-DK"/>
        </w:rPr>
        <w:t xml:space="preserve">del af den </w:t>
      </w:r>
      <w:r w:rsidRPr="00577043">
        <w:rPr>
          <w:rFonts w:eastAsia="Times New Roman" w:cs="Times New Roman"/>
          <w:color w:val="000000"/>
          <w:lang w:eastAsia="da-DK"/>
        </w:rPr>
        <w:t>retlig</w:t>
      </w:r>
      <w:r w:rsidR="00FD1E5B" w:rsidRPr="00577043">
        <w:rPr>
          <w:rFonts w:eastAsia="Times New Roman" w:cs="Times New Roman"/>
          <w:color w:val="000000"/>
          <w:lang w:eastAsia="da-DK"/>
        </w:rPr>
        <w:t>e</w:t>
      </w:r>
      <w:r w:rsidRPr="00577043">
        <w:rPr>
          <w:rFonts w:eastAsia="Times New Roman" w:cs="Times New Roman"/>
          <w:color w:val="000000"/>
          <w:lang w:eastAsia="da-DK"/>
        </w:rPr>
        <w:t xml:space="preserve"> repræsentan</w:t>
      </w:r>
      <w:r w:rsidR="009B4D0F" w:rsidRPr="00577043">
        <w:rPr>
          <w:rFonts w:eastAsia="Times New Roman" w:cs="Times New Roman"/>
          <w:color w:val="000000"/>
          <w:lang w:eastAsia="da-DK"/>
        </w:rPr>
        <w:t xml:space="preserve">t, som </w:t>
      </w:r>
      <w:r w:rsidR="00FD1E5B" w:rsidRPr="00577043">
        <w:rPr>
          <w:rFonts w:eastAsia="Times New Roman" w:cs="Times New Roman"/>
          <w:color w:val="000000"/>
          <w:lang w:eastAsia="da-DK"/>
        </w:rPr>
        <w:t xml:space="preserve">sammen med nærmeste pårørende </w:t>
      </w:r>
      <w:r w:rsidR="009B4D0F" w:rsidRPr="00577043">
        <w:rPr>
          <w:rFonts w:eastAsia="Times New Roman" w:cs="Times New Roman"/>
          <w:color w:val="000000"/>
          <w:lang w:eastAsia="da-DK"/>
        </w:rPr>
        <w:t xml:space="preserve">kan give samtykke til deltagelse i kliniske forsøg med lægemidler i overensstemmelse med forordningens regler for </w:t>
      </w:r>
      <w:r w:rsidR="00A2484A" w:rsidRPr="00577043">
        <w:rPr>
          <w:rFonts w:eastAsia="Times New Roman" w:cs="Times New Roman"/>
          <w:color w:val="000000"/>
          <w:lang w:eastAsia="da-DK"/>
        </w:rPr>
        <w:t xml:space="preserve">informeret </w:t>
      </w:r>
      <w:r w:rsidR="009B4D0F" w:rsidRPr="00577043">
        <w:rPr>
          <w:rFonts w:eastAsia="Times New Roman" w:cs="Times New Roman"/>
          <w:color w:val="000000"/>
          <w:lang w:eastAsia="da-DK"/>
        </w:rPr>
        <w:t xml:space="preserve">samtykke efter </w:t>
      </w:r>
      <w:r w:rsidR="00195099" w:rsidRPr="00577043">
        <w:rPr>
          <w:rFonts w:eastAsia="Times New Roman" w:cs="Times New Roman"/>
          <w:bCs/>
          <w:color w:val="000000"/>
          <w:lang w:eastAsia="da-DK"/>
        </w:rPr>
        <w:t>art</w:t>
      </w:r>
      <w:r w:rsidR="00195099">
        <w:rPr>
          <w:rFonts w:eastAsia="Times New Roman" w:cs="Times New Roman"/>
          <w:bCs/>
          <w:color w:val="000000"/>
          <w:lang w:eastAsia="da-DK"/>
        </w:rPr>
        <w:t>ikel</w:t>
      </w:r>
      <w:r w:rsidR="009B4D0F" w:rsidRPr="00577043">
        <w:rPr>
          <w:rFonts w:eastAsia="Times New Roman" w:cs="Times New Roman"/>
          <w:color w:val="000000"/>
          <w:lang w:eastAsia="da-DK"/>
        </w:rPr>
        <w:t xml:space="preserve"> 29 og 31.</w:t>
      </w:r>
      <w:r w:rsidR="00203341" w:rsidRPr="00577043">
        <w:rPr>
          <w:rFonts w:eastAsia="Times New Roman" w:cs="Times New Roman"/>
          <w:color w:val="000000"/>
          <w:lang w:eastAsia="da-DK"/>
        </w:rPr>
        <w:t xml:space="preserve"> </w:t>
      </w:r>
    </w:p>
    <w:p w14:paraId="55A12AE2" w14:textId="77777777" w:rsidR="00A2484A" w:rsidRPr="00577043" w:rsidRDefault="00A2484A" w:rsidP="00D00047">
      <w:pPr>
        <w:rPr>
          <w:rFonts w:eastAsia="Times New Roman" w:cs="Times New Roman"/>
          <w:color w:val="000000"/>
          <w:lang w:eastAsia="da-DK"/>
        </w:rPr>
      </w:pPr>
    </w:p>
    <w:p w14:paraId="22F6FFDD" w14:textId="77777777" w:rsidR="00665803" w:rsidRPr="00577043" w:rsidRDefault="00FD1E5B" w:rsidP="00D00047">
      <w:pPr>
        <w:rPr>
          <w:rFonts w:eastAsia="Times New Roman" w:cs="Times New Roman"/>
          <w:color w:val="000000"/>
          <w:lang w:eastAsia="da-DK"/>
        </w:rPr>
      </w:pPr>
      <w:r w:rsidRPr="00577043">
        <w:rPr>
          <w:rFonts w:eastAsia="Times New Roman" w:cs="Times New Roman"/>
          <w:color w:val="000000"/>
          <w:lang w:eastAsia="da-DK"/>
        </w:rPr>
        <w:t>Tilsvarende kan en forsøgsværge sammen m</w:t>
      </w:r>
      <w:r w:rsidR="00A2484A" w:rsidRPr="00577043">
        <w:rPr>
          <w:rFonts w:eastAsia="Times New Roman" w:cs="Times New Roman"/>
          <w:color w:val="000000"/>
          <w:lang w:eastAsia="da-DK"/>
        </w:rPr>
        <w:t>e</w:t>
      </w:r>
      <w:r w:rsidRPr="00577043">
        <w:rPr>
          <w:rFonts w:eastAsia="Times New Roman" w:cs="Times New Roman"/>
          <w:color w:val="000000"/>
          <w:lang w:eastAsia="da-DK"/>
        </w:rPr>
        <w:t xml:space="preserve">d nærmeste pårørende give samtykke til </w:t>
      </w:r>
      <w:r w:rsidR="00B309D4" w:rsidRPr="00577043">
        <w:rPr>
          <w:rFonts w:eastAsia="Times New Roman" w:cs="Times New Roman"/>
          <w:color w:val="000000"/>
          <w:lang w:eastAsia="da-DK"/>
        </w:rPr>
        <w:t xml:space="preserve">deltagelse </w:t>
      </w:r>
      <w:r w:rsidR="00275546">
        <w:rPr>
          <w:rFonts w:eastAsia="Times New Roman" w:cs="Times New Roman"/>
          <w:color w:val="000000"/>
          <w:lang w:eastAsia="da-DK"/>
        </w:rPr>
        <w:t xml:space="preserve">i </w:t>
      </w:r>
      <w:r w:rsidRPr="00577043">
        <w:rPr>
          <w:rFonts w:eastAsia="Times New Roman" w:cs="Times New Roman"/>
          <w:color w:val="000000"/>
          <w:lang w:eastAsia="da-DK"/>
        </w:rPr>
        <w:t>andre sundhedsfaglige forskningsprojekter</w:t>
      </w:r>
      <w:r w:rsidR="001E1588" w:rsidRPr="00577043">
        <w:rPr>
          <w:rFonts w:eastAsia="Times New Roman" w:cs="Times New Roman"/>
          <w:color w:val="000000"/>
          <w:lang w:eastAsia="da-DK"/>
        </w:rPr>
        <w:t xml:space="preserve"> end kliniske forsøg med lægemidler</w:t>
      </w:r>
      <w:r w:rsidRPr="00577043">
        <w:rPr>
          <w:rFonts w:eastAsia="Times New Roman" w:cs="Times New Roman"/>
          <w:color w:val="000000"/>
          <w:lang w:eastAsia="da-DK"/>
        </w:rPr>
        <w:t>, i overensstemmelse med reglerne i komitéloven</w:t>
      </w:r>
      <w:r w:rsidR="00A2484A" w:rsidRPr="00577043">
        <w:rPr>
          <w:rFonts w:eastAsia="Times New Roman" w:cs="Times New Roman"/>
          <w:color w:val="000000"/>
          <w:lang w:eastAsia="da-DK"/>
        </w:rPr>
        <w:t xml:space="preserve">, jf. den foreslåede ændring af komitélovens § 3, stk. 4. </w:t>
      </w:r>
    </w:p>
    <w:p w14:paraId="78C27A01" w14:textId="77777777" w:rsidR="00B309D4" w:rsidRPr="00577043" w:rsidRDefault="00B309D4" w:rsidP="00D00047">
      <w:pPr>
        <w:rPr>
          <w:rFonts w:eastAsia="Times New Roman" w:cs="Times New Roman"/>
          <w:color w:val="000000"/>
          <w:lang w:eastAsia="da-DK"/>
        </w:rPr>
      </w:pPr>
    </w:p>
    <w:p w14:paraId="57CF6575" w14:textId="77777777" w:rsidR="00251ECC" w:rsidRPr="00251ECC" w:rsidRDefault="00E83B4A" w:rsidP="00FE577C">
      <w:pPr>
        <w:rPr>
          <w:i/>
        </w:rPr>
      </w:pPr>
      <w:r>
        <w:rPr>
          <w:i/>
        </w:rPr>
        <w:t>2.10.</w:t>
      </w:r>
      <w:r w:rsidR="00FE577C" w:rsidRPr="00251ECC">
        <w:rPr>
          <w:i/>
        </w:rPr>
        <w:t xml:space="preserve"> Lægemiddelforsøg i akutte</w:t>
      </w:r>
      <w:r w:rsidR="00184338" w:rsidRPr="00251ECC">
        <w:rPr>
          <w:i/>
        </w:rPr>
        <w:t xml:space="preserve"> situationer</w:t>
      </w:r>
    </w:p>
    <w:p w14:paraId="4A742553" w14:textId="77777777" w:rsidR="00155E70" w:rsidRDefault="00FE577C" w:rsidP="00FE577C">
      <w:pPr>
        <w:rPr>
          <w:rFonts w:eastAsia="Times New Roman" w:cs="Times New Roman"/>
          <w:color w:val="000000"/>
          <w:lang w:eastAsia="da-DK"/>
        </w:rPr>
      </w:pPr>
      <w:r w:rsidRPr="00577043">
        <w:rPr>
          <w:rFonts w:eastAsia="Times New Roman" w:cs="Times New Roman"/>
          <w:color w:val="000000"/>
          <w:lang w:eastAsia="da-DK"/>
        </w:rPr>
        <w:t>Forordningen</w:t>
      </w:r>
      <w:r w:rsidR="00F81C6B">
        <w:rPr>
          <w:rFonts w:eastAsia="Times New Roman" w:cs="Times New Roman"/>
          <w:color w:val="000000"/>
          <w:lang w:eastAsia="da-DK"/>
        </w:rPr>
        <w:t xml:space="preserve"> </w:t>
      </w:r>
      <w:r>
        <w:rPr>
          <w:rFonts w:eastAsia="Times New Roman" w:cs="Times New Roman"/>
          <w:color w:val="000000"/>
          <w:lang w:eastAsia="da-DK"/>
        </w:rPr>
        <w:t>medfører</w:t>
      </w:r>
      <w:r w:rsidRPr="00577043">
        <w:rPr>
          <w:rFonts w:eastAsia="Times New Roman" w:cs="Times New Roman"/>
          <w:color w:val="000000"/>
          <w:lang w:eastAsia="da-DK"/>
        </w:rPr>
        <w:t xml:space="preserve">, at det bliver muligt at gennemføre kliniske forsøg med lægemidler i akutte situationer uden forudgående samtykke. Ifølge </w:t>
      </w:r>
      <w:r w:rsidR="00A54E3C">
        <w:rPr>
          <w:rFonts w:eastAsia="Times New Roman" w:cs="Times New Roman"/>
          <w:color w:val="000000"/>
          <w:lang w:eastAsia="da-DK"/>
        </w:rPr>
        <w:t xml:space="preserve">forordningens </w:t>
      </w:r>
      <w:r w:rsidR="00195099" w:rsidRPr="00577043">
        <w:rPr>
          <w:rFonts w:eastAsia="Times New Roman" w:cs="Times New Roman"/>
          <w:bCs/>
          <w:color w:val="000000"/>
          <w:lang w:eastAsia="da-DK"/>
        </w:rPr>
        <w:t>art</w:t>
      </w:r>
      <w:r w:rsidR="00195099">
        <w:rPr>
          <w:rFonts w:eastAsia="Times New Roman" w:cs="Times New Roman"/>
          <w:bCs/>
          <w:color w:val="000000"/>
          <w:lang w:eastAsia="da-DK"/>
        </w:rPr>
        <w:t>ikel</w:t>
      </w:r>
      <w:r w:rsidRPr="00577043">
        <w:rPr>
          <w:rFonts w:eastAsia="Times New Roman" w:cs="Times New Roman"/>
          <w:color w:val="000000"/>
          <w:lang w:eastAsia="da-DK"/>
        </w:rPr>
        <w:t xml:space="preserve"> 35 kan der således indhentes informeret samtykke til at deltage i et klinisk</w:t>
      </w:r>
      <w:r w:rsidR="00DC6928">
        <w:rPr>
          <w:rFonts w:eastAsia="Times New Roman" w:cs="Times New Roman"/>
          <w:color w:val="000000"/>
          <w:lang w:eastAsia="da-DK"/>
        </w:rPr>
        <w:t xml:space="preserve"> </w:t>
      </w:r>
      <w:r w:rsidRPr="00577043">
        <w:rPr>
          <w:rFonts w:eastAsia="Times New Roman" w:cs="Times New Roman"/>
          <w:color w:val="000000"/>
          <w:lang w:eastAsia="da-DK"/>
        </w:rPr>
        <w:t>forsøg, efter at beslutningen om at inkludere forsøgspersonen i et klinisk forsøg træffes, når det vedrører forskning i akutte situationer. Dette gælder i tilfælde</w:t>
      </w:r>
      <w:r w:rsidR="003E47A4">
        <w:rPr>
          <w:rFonts w:eastAsia="Times New Roman" w:cs="Times New Roman"/>
          <w:color w:val="000000"/>
          <w:lang w:eastAsia="da-DK"/>
        </w:rPr>
        <w:t>,</w:t>
      </w:r>
      <w:r w:rsidRPr="00577043">
        <w:rPr>
          <w:rFonts w:eastAsia="Times New Roman" w:cs="Times New Roman"/>
          <w:color w:val="000000"/>
          <w:lang w:eastAsia="da-DK"/>
        </w:rPr>
        <w:t xml:space="preserve"> hvor en forsøgsperson på grund af situationens hastende karakter som følge af en pludselig livtruende eller anden pludselig alvorlig sygdomstilstand ikke forinden kan give informeret samtykke eller modtage forudgående information om det klinisk forsøg, forudsat en række betingelser er opfyldt.</w:t>
      </w:r>
      <w:r w:rsidR="00155E70">
        <w:rPr>
          <w:rFonts w:eastAsia="Times New Roman" w:cs="Times New Roman"/>
          <w:color w:val="000000"/>
          <w:lang w:eastAsia="da-DK"/>
        </w:rPr>
        <w:t xml:space="preserve"> Som betingelser gælder bl.a., at der er videnskabeligt belæg for at antage, at forsøget kan føre til en direkte klinisk fordel for forsøgspersonen, at investigator attesterer ikke at være bekendt med, at forsøgspersonen tidligere har udtalt indvendinger mod at deltage i forsøget</w:t>
      </w:r>
      <w:r w:rsidR="00B17F64">
        <w:rPr>
          <w:rFonts w:eastAsia="Times New Roman" w:cs="Times New Roman"/>
          <w:color w:val="000000"/>
          <w:lang w:eastAsia="da-DK"/>
        </w:rPr>
        <w:t>,</w:t>
      </w:r>
      <w:r w:rsidR="00155E70">
        <w:rPr>
          <w:rFonts w:eastAsia="Times New Roman" w:cs="Times New Roman"/>
          <w:color w:val="000000"/>
          <w:lang w:eastAsia="da-DK"/>
        </w:rPr>
        <w:t xml:space="preserve"> og at forsøget medfører en minimal risiko og byrde for forsøgspersonen i forhold til standardbehandlingen af personens tilstand.</w:t>
      </w:r>
      <w:r w:rsidRPr="00577043">
        <w:rPr>
          <w:rFonts w:eastAsia="Times New Roman" w:cs="Times New Roman"/>
          <w:color w:val="000000"/>
          <w:lang w:eastAsia="da-DK"/>
        </w:rPr>
        <w:t xml:space="preserve"> </w:t>
      </w:r>
    </w:p>
    <w:p w14:paraId="64C8C99A" w14:textId="77777777" w:rsidR="00155E70" w:rsidRDefault="00155E70" w:rsidP="00FE577C">
      <w:pPr>
        <w:rPr>
          <w:rFonts w:eastAsia="Times New Roman" w:cs="Times New Roman"/>
          <w:color w:val="000000"/>
          <w:lang w:eastAsia="da-DK"/>
        </w:rPr>
      </w:pPr>
    </w:p>
    <w:p w14:paraId="05EAFABB" w14:textId="77777777" w:rsidR="00F414E5" w:rsidRDefault="00FE577C" w:rsidP="00FE577C">
      <w:pPr>
        <w:rPr>
          <w:rFonts w:eastAsia="Times New Roman" w:cs="Times New Roman"/>
          <w:color w:val="000000"/>
          <w:lang w:eastAsia="da-DK"/>
        </w:rPr>
      </w:pPr>
      <w:r w:rsidRPr="00577043">
        <w:rPr>
          <w:rFonts w:eastAsia="Times New Roman" w:cs="Times New Roman"/>
          <w:color w:val="000000"/>
          <w:lang w:eastAsia="da-DK"/>
        </w:rPr>
        <w:t xml:space="preserve">Efter interventionen skal der indhentes informeret samtykke, for at forsøgspersonen fortsat kan deltage i det kliniske forsøg. Det efterfølgende samtykke skal indhentes fra forsøgspersonen eller en retlig repræsentant i overensstemmelse med forordningens regler om samtykke og den nationale lovgivning om retlige repræsentanter. </w:t>
      </w:r>
    </w:p>
    <w:p w14:paraId="22A18CFC" w14:textId="77777777" w:rsidR="00F414E5" w:rsidRDefault="00F414E5" w:rsidP="00FE577C">
      <w:pPr>
        <w:rPr>
          <w:rFonts w:eastAsia="Times New Roman" w:cs="Times New Roman"/>
          <w:color w:val="000000"/>
          <w:lang w:eastAsia="da-DK"/>
        </w:rPr>
      </w:pPr>
    </w:p>
    <w:p w14:paraId="2AAA6A1A" w14:textId="77777777" w:rsidR="00FE577C" w:rsidRPr="00577043" w:rsidRDefault="00FE577C" w:rsidP="00FE577C">
      <w:pPr>
        <w:rPr>
          <w:rFonts w:eastAsia="Times New Roman" w:cs="Times New Roman"/>
          <w:color w:val="000000"/>
          <w:lang w:eastAsia="da-DK"/>
        </w:rPr>
      </w:pPr>
      <w:r w:rsidRPr="00577043">
        <w:rPr>
          <w:rFonts w:eastAsia="Times New Roman" w:cs="Times New Roman"/>
          <w:color w:val="000000"/>
          <w:lang w:eastAsia="da-DK"/>
        </w:rPr>
        <w:t xml:space="preserve">Forordningens </w:t>
      </w:r>
      <w:r w:rsidR="00195099" w:rsidRPr="00577043">
        <w:rPr>
          <w:rFonts w:eastAsia="Times New Roman" w:cs="Times New Roman"/>
          <w:bCs/>
          <w:color w:val="000000"/>
          <w:lang w:eastAsia="da-DK"/>
        </w:rPr>
        <w:t>art</w:t>
      </w:r>
      <w:r w:rsidR="00195099">
        <w:rPr>
          <w:rFonts w:eastAsia="Times New Roman" w:cs="Times New Roman"/>
          <w:bCs/>
          <w:color w:val="000000"/>
          <w:lang w:eastAsia="da-DK"/>
        </w:rPr>
        <w:t>ikel</w:t>
      </w:r>
      <w:r w:rsidRPr="00577043">
        <w:rPr>
          <w:rFonts w:eastAsia="Times New Roman" w:cs="Times New Roman"/>
          <w:color w:val="000000"/>
          <w:lang w:eastAsia="da-DK"/>
        </w:rPr>
        <w:t xml:space="preserve"> 35 vurderes udtømmende at regulere samtykke til deltagelse i akutforsøg og erstatter dermed § 12 i komitéloven, hvorefter der skal indhentes forudgående samtykke fra en forsøgsværge.</w:t>
      </w:r>
      <w:r w:rsidR="00F414E5">
        <w:rPr>
          <w:rFonts w:eastAsia="Times New Roman" w:cs="Times New Roman"/>
          <w:color w:val="000000"/>
          <w:lang w:eastAsia="da-DK"/>
        </w:rPr>
        <w:t xml:space="preserve"> På den bagrund foreslås § 12 i komitéloven ophævet, jf. § </w:t>
      </w:r>
      <w:r w:rsidR="00603583">
        <w:rPr>
          <w:rFonts w:eastAsia="Times New Roman" w:cs="Times New Roman"/>
          <w:color w:val="000000"/>
          <w:lang w:eastAsia="da-DK"/>
        </w:rPr>
        <w:t>37</w:t>
      </w:r>
      <w:r w:rsidR="00F414E5">
        <w:rPr>
          <w:rFonts w:eastAsia="Times New Roman" w:cs="Times New Roman"/>
          <w:color w:val="000000"/>
          <w:lang w:eastAsia="da-DK"/>
        </w:rPr>
        <w:t>, nr. 1</w:t>
      </w:r>
      <w:r w:rsidR="00603583">
        <w:rPr>
          <w:rFonts w:eastAsia="Times New Roman" w:cs="Times New Roman"/>
          <w:color w:val="000000"/>
          <w:lang w:eastAsia="da-DK"/>
        </w:rPr>
        <w:t>4</w:t>
      </w:r>
      <w:r w:rsidR="00F414E5">
        <w:rPr>
          <w:rFonts w:eastAsia="Times New Roman" w:cs="Times New Roman"/>
          <w:color w:val="000000"/>
          <w:lang w:eastAsia="da-DK"/>
        </w:rPr>
        <w:t xml:space="preserve"> i dette lovforslag.</w:t>
      </w:r>
    </w:p>
    <w:p w14:paraId="66B53704" w14:textId="77777777" w:rsidR="00FD1E5B" w:rsidRDefault="00FD1E5B" w:rsidP="00D00047">
      <w:pPr>
        <w:rPr>
          <w:rFonts w:eastAsia="Times New Roman" w:cs="Times New Roman"/>
          <w:color w:val="000000"/>
          <w:lang w:eastAsia="da-DK"/>
        </w:rPr>
      </w:pPr>
    </w:p>
    <w:p w14:paraId="510C90E9" w14:textId="77777777" w:rsidR="00A37F8F" w:rsidRPr="00577043" w:rsidRDefault="003A75A5" w:rsidP="0045571D">
      <w:pPr>
        <w:pStyle w:val="Overskrift5"/>
        <w:rPr>
          <w:rFonts w:eastAsia="Times New Roman"/>
          <w:i w:val="0"/>
          <w:lang w:eastAsia="da-DK"/>
        </w:rPr>
      </w:pPr>
      <w:r>
        <w:rPr>
          <w:rFonts w:eastAsia="Times New Roman"/>
          <w:lang w:eastAsia="da-DK"/>
        </w:rPr>
        <w:t>2.11</w:t>
      </w:r>
      <w:r w:rsidR="00A37F8F" w:rsidRPr="00577043">
        <w:rPr>
          <w:rFonts w:eastAsia="Times New Roman"/>
          <w:lang w:eastAsia="da-DK"/>
        </w:rPr>
        <w:t>. Klageadgang</w:t>
      </w:r>
    </w:p>
    <w:p w14:paraId="6A20092B" w14:textId="77777777" w:rsidR="00A37F8F" w:rsidRPr="00577043" w:rsidRDefault="00A37F8F" w:rsidP="00A37F8F">
      <w:pPr>
        <w:rPr>
          <w:lang w:eastAsia="da-DK"/>
        </w:rPr>
      </w:pPr>
    </w:p>
    <w:p w14:paraId="6A0C9E3F" w14:textId="77777777" w:rsidR="00A37F8F" w:rsidRPr="00577043" w:rsidRDefault="003A75A5" w:rsidP="00A37F8F">
      <w:pPr>
        <w:rPr>
          <w:i/>
          <w:lang w:eastAsia="da-DK"/>
        </w:rPr>
      </w:pPr>
      <w:r>
        <w:rPr>
          <w:i/>
          <w:lang w:eastAsia="da-DK"/>
        </w:rPr>
        <w:t>2.11.1.</w:t>
      </w:r>
      <w:r w:rsidR="00A37F8F" w:rsidRPr="00577043">
        <w:rPr>
          <w:i/>
          <w:lang w:eastAsia="da-DK"/>
        </w:rPr>
        <w:t xml:space="preserve"> Gældende re</w:t>
      </w:r>
      <w:r w:rsidR="00FF5EB4">
        <w:rPr>
          <w:i/>
          <w:lang w:eastAsia="da-DK"/>
        </w:rPr>
        <w:t>t</w:t>
      </w:r>
    </w:p>
    <w:p w14:paraId="011FB8BF" w14:textId="77777777" w:rsidR="00A37F8F" w:rsidRPr="00577043" w:rsidRDefault="00A37F8F" w:rsidP="00A37F8F">
      <w:pPr>
        <w:rPr>
          <w:rFonts w:eastAsia="Times New Roman" w:cs="Times New Roman"/>
          <w:bCs/>
          <w:color w:val="000000"/>
          <w:lang w:eastAsia="da-DK"/>
        </w:rPr>
      </w:pPr>
      <w:r w:rsidRPr="00577043">
        <w:rPr>
          <w:rFonts w:eastAsia="Times New Roman" w:cs="Times New Roman"/>
          <w:bCs/>
          <w:color w:val="000000"/>
          <w:lang w:eastAsia="da-DK"/>
        </w:rPr>
        <w:t xml:space="preserve">Afgørelser fra </w:t>
      </w:r>
      <w:r w:rsidR="0058651B">
        <w:rPr>
          <w:rFonts w:eastAsia="Times New Roman" w:cs="Times New Roman"/>
          <w:bCs/>
          <w:color w:val="000000"/>
          <w:lang w:eastAsia="da-DK"/>
        </w:rPr>
        <w:t>Lægemiddelstyrelsen</w:t>
      </w:r>
      <w:r w:rsidRPr="00577043">
        <w:rPr>
          <w:rFonts w:eastAsia="Times New Roman" w:cs="Times New Roman"/>
          <w:bCs/>
          <w:color w:val="000000"/>
          <w:lang w:eastAsia="da-DK"/>
        </w:rPr>
        <w:t xml:space="preserve"> </w:t>
      </w:r>
      <w:r w:rsidR="00E53C17">
        <w:rPr>
          <w:rFonts w:eastAsia="Times New Roman" w:cs="Times New Roman"/>
          <w:bCs/>
          <w:color w:val="000000"/>
          <w:lang w:eastAsia="da-DK"/>
        </w:rPr>
        <w:t>om</w:t>
      </w:r>
      <w:r w:rsidRPr="00577043">
        <w:rPr>
          <w:rFonts w:eastAsia="Times New Roman" w:cs="Times New Roman"/>
          <w:bCs/>
          <w:color w:val="000000"/>
          <w:lang w:eastAsia="da-DK"/>
        </w:rPr>
        <w:t xml:space="preserve"> godkendelse af kliniske forsøg med lægemidler kan i medfør af den almindelige retsgrundsætning, hvorefter der kan klages over en underordnet myndighed til en overordnet myndighed, indbringes for </w:t>
      </w:r>
      <w:r w:rsidR="00A22EAD" w:rsidRPr="00577043">
        <w:rPr>
          <w:rFonts w:eastAsia="Times New Roman" w:cs="Times New Roman"/>
          <w:bCs/>
          <w:color w:val="000000"/>
          <w:lang w:eastAsia="da-DK"/>
        </w:rPr>
        <w:t>Sundheds- og Ældreministeriet</w:t>
      </w:r>
      <w:r w:rsidRPr="00577043">
        <w:rPr>
          <w:rFonts w:eastAsia="Times New Roman" w:cs="Times New Roman"/>
          <w:bCs/>
          <w:color w:val="000000"/>
          <w:lang w:eastAsia="da-DK"/>
        </w:rPr>
        <w:t xml:space="preserve"> for så vidt angår retlige forhold. Der er i</w:t>
      </w:r>
      <w:r w:rsidR="003859F1">
        <w:rPr>
          <w:rFonts w:eastAsia="Times New Roman" w:cs="Times New Roman"/>
          <w:bCs/>
          <w:color w:val="000000"/>
          <w:lang w:eastAsia="da-DK"/>
        </w:rPr>
        <w:t>ngen</w:t>
      </w:r>
      <w:r w:rsidRPr="00577043">
        <w:rPr>
          <w:rFonts w:eastAsia="Times New Roman" w:cs="Times New Roman"/>
          <w:bCs/>
          <w:color w:val="000000"/>
          <w:lang w:eastAsia="da-DK"/>
        </w:rPr>
        <w:t xml:space="preserve"> overordnet sundhedsfaglig myndighed i forhold til </w:t>
      </w:r>
      <w:r w:rsidR="0058651B">
        <w:rPr>
          <w:rFonts w:eastAsia="Times New Roman" w:cs="Times New Roman"/>
          <w:bCs/>
          <w:color w:val="000000"/>
          <w:lang w:eastAsia="da-DK"/>
        </w:rPr>
        <w:t>Lægemiddelstyrelsen</w:t>
      </w:r>
      <w:r w:rsidRPr="00577043">
        <w:rPr>
          <w:rFonts w:eastAsia="Times New Roman" w:cs="Times New Roman"/>
          <w:bCs/>
          <w:color w:val="000000"/>
          <w:lang w:eastAsia="da-DK"/>
        </w:rPr>
        <w:t>, og en afgørelse kan derfor ikke efterprøves materielt af en anden myndighed.</w:t>
      </w:r>
    </w:p>
    <w:p w14:paraId="38FF3368" w14:textId="77777777" w:rsidR="00A37F8F" w:rsidRPr="00577043" w:rsidRDefault="00A37F8F" w:rsidP="00A37F8F">
      <w:pPr>
        <w:rPr>
          <w:rFonts w:eastAsia="Times New Roman" w:cs="Times New Roman"/>
          <w:bCs/>
          <w:color w:val="000000"/>
          <w:lang w:eastAsia="da-DK"/>
        </w:rPr>
      </w:pPr>
    </w:p>
    <w:p w14:paraId="3163E337" w14:textId="77777777" w:rsidR="00A37F8F" w:rsidRPr="00577043" w:rsidRDefault="00A37F8F" w:rsidP="00A37F8F">
      <w:pPr>
        <w:rPr>
          <w:rFonts w:eastAsia="Times New Roman" w:cs="Times New Roman"/>
          <w:color w:val="000000"/>
          <w:lang w:eastAsia="da-DK"/>
        </w:rPr>
      </w:pPr>
      <w:r w:rsidRPr="00577043">
        <w:rPr>
          <w:rFonts w:eastAsia="Times New Roman" w:cs="Times New Roman"/>
          <w:bCs/>
          <w:color w:val="000000"/>
          <w:lang w:eastAsia="da-DK"/>
        </w:rPr>
        <w:t>Afgørelser fra de regionale videnskabsetiske komiteer kan indbringes for DNVK i medfør af komitélovens § 26</w:t>
      </w:r>
      <w:r w:rsidR="009C7BC9" w:rsidRPr="00577043">
        <w:rPr>
          <w:rFonts w:eastAsia="Times New Roman" w:cs="Times New Roman"/>
          <w:bCs/>
          <w:color w:val="000000"/>
          <w:lang w:eastAsia="da-DK"/>
        </w:rPr>
        <w:t>, stk. 1</w:t>
      </w:r>
      <w:r w:rsidRPr="00577043">
        <w:rPr>
          <w:rFonts w:eastAsia="Times New Roman" w:cs="Times New Roman"/>
          <w:bCs/>
          <w:color w:val="000000"/>
          <w:lang w:eastAsia="da-DK"/>
        </w:rPr>
        <w:t xml:space="preserve">. </w:t>
      </w:r>
      <w:r w:rsidRPr="00577043">
        <w:rPr>
          <w:rFonts w:eastAsia="Times New Roman" w:cs="Times New Roman"/>
          <w:color w:val="000000"/>
          <w:lang w:eastAsia="da-DK"/>
        </w:rPr>
        <w:t xml:space="preserve">Klager over retlige forhold </w:t>
      </w:r>
      <w:r w:rsidR="00E53C17">
        <w:rPr>
          <w:rFonts w:eastAsia="Times New Roman" w:cs="Times New Roman"/>
          <w:color w:val="000000"/>
          <w:lang w:eastAsia="da-DK"/>
        </w:rPr>
        <w:t>om</w:t>
      </w:r>
      <w:r w:rsidRPr="00577043">
        <w:rPr>
          <w:rFonts w:eastAsia="Times New Roman" w:cs="Times New Roman"/>
          <w:color w:val="000000"/>
          <w:lang w:eastAsia="da-DK"/>
        </w:rPr>
        <w:t xml:space="preserve"> afgørelser truffet af DNVK om forskningsprojekter, der vedrører særlig komplekse områder, kan indbringes for ministeriet, </w:t>
      </w:r>
      <w:r w:rsidR="00806BE9" w:rsidRPr="00577043">
        <w:rPr>
          <w:rFonts w:eastAsia="Times New Roman" w:cs="Times New Roman"/>
          <w:color w:val="000000"/>
          <w:lang w:eastAsia="da-DK"/>
        </w:rPr>
        <w:t xml:space="preserve">jf. § 26, stk. 2, i komitéloven. </w:t>
      </w:r>
      <w:r w:rsidRPr="00577043">
        <w:rPr>
          <w:rFonts w:eastAsia="Times New Roman" w:cs="Times New Roman"/>
          <w:color w:val="000000"/>
          <w:lang w:eastAsia="da-DK"/>
        </w:rPr>
        <w:t xml:space="preserve">Forskningsprojekter, som vedrører særlig komplekse områder, er fastsat ved bekendtgørelse nr. 1149 af 30. september 2013. Ifølge § 2, stk. 1, nr. 2, i bekendtgørelsen træffer DNVK afgørelse </w:t>
      </w:r>
      <w:r w:rsidR="00E53C17">
        <w:rPr>
          <w:rFonts w:eastAsia="Times New Roman" w:cs="Times New Roman"/>
          <w:color w:val="000000"/>
          <w:lang w:eastAsia="da-DK"/>
        </w:rPr>
        <w:t>om</w:t>
      </w:r>
      <w:r w:rsidRPr="00577043">
        <w:rPr>
          <w:rFonts w:eastAsia="Times New Roman" w:cs="Times New Roman"/>
          <w:color w:val="000000"/>
          <w:lang w:eastAsia="da-DK"/>
        </w:rPr>
        <w:t xml:space="preserve"> sundhedsvidenskabelige forskningsprojekter, der vedrører lægemidler til avanceret terapi. </w:t>
      </w:r>
    </w:p>
    <w:p w14:paraId="60109064" w14:textId="77777777" w:rsidR="00A37F8F" w:rsidRPr="00577043" w:rsidRDefault="00A37F8F" w:rsidP="00A37F8F">
      <w:pPr>
        <w:rPr>
          <w:lang w:eastAsia="da-DK"/>
        </w:rPr>
      </w:pPr>
    </w:p>
    <w:p w14:paraId="76803D3E" w14:textId="77777777" w:rsidR="00A37F8F" w:rsidRPr="00577043" w:rsidRDefault="003A75A5" w:rsidP="00A37F8F">
      <w:pPr>
        <w:rPr>
          <w:lang w:eastAsia="da-DK"/>
        </w:rPr>
      </w:pPr>
      <w:r>
        <w:rPr>
          <w:i/>
          <w:lang w:eastAsia="da-DK"/>
        </w:rPr>
        <w:t>2.11.2.</w:t>
      </w:r>
      <w:r w:rsidR="00A37F8F" w:rsidRPr="00577043">
        <w:rPr>
          <w:i/>
          <w:lang w:eastAsia="da-DK"/>
        </w:rPr>
        <w:t xml:space="preserve"> Forslag</w:t>
      </w:r>
    </w:p>
    <w:p w14:paraId="30BA6976" w14:textId="77777777" w:rsidR="00D8209F" w:rsidRPr="00577043" w:rsidRDefault="00D8209F" w:rsidP="00D8209F">
      <w:pPr>
        <w:spacing w:before="120"/>
        <w:rPr>
          <w:rFonts w:eastAsia="Times New Roman" w:cs="Times New Roman"/>
          <w:color w:val="000000"/>
          <w:lang w:eastAsia="da-DK"/>
        </w:rPr>
      </w:pPr>
      <w:r w:rsidRPr="00577043">
        <w:rPr>
          <w:rFonts w:eastAsia="Times New Roman" w:cs="Times New Roman"/>
          <w:color w:val="000000"/>
          <w:lang w:eastAsia="da-DK"/>
        </w:rPr>
        <w:t xml:space="preserve">Ifølge forordningen skal en medlemsstat stille en appelprocedure til rådighed i forbindelse med afvisning af et lægemiddelforsøg. </w:t>
      </w:r>
    </w:p>
    <w:p w14:paraId="7A6CAA1B" w14:textId="77777777" w:rsidR="00D8209F" w:rsidRDefault="00D8209F" w:rsidP="00BA17EB">
      <w:pPr>
        <w:rPr>
          <w:rFonts w:eastAsia="Times New Roman" w:cs="Times New Roman"/>
          <w:color w:val="000000"/>
          <w:lang w:eastAsia="da-DK"/>
        </w:rPr>
      </w:pPr>
    </w:p>
    <w:p w14:paraId="35C6D0A2" w14:textId="77777777" w:rsidR="00BA17EB" w:rsidRDefault="009C2DF8" w:rsidP="00BA17EB">
      <w:pPr>
        <w:rPr>
          <w:rFonts w:eastAsia="Times New Roman" w:cs="Times New Roman"/>
          <w:color w:val="000000"/>
          <w:lang w:eastAsia="da-DK"/>
        </w:rPr>
      </w:pPr>
      <w:r w:rsidRPr="00577043">
        <w:rPr>
          <w:rFonts w:eastAsia="Times New Roman" w:cs="Times New Roman"/>
          <w:color w:val="000000"/>
          <w:lang w:eastAsia="da-DK"/>
        </w:rPr>
        <w:lastRenderedPageBreak/>
        <w:t>D</w:t>
      </w:r>
      <w:r w:rsidR="00BA17EB" w:rsidRPr="00577043">
        <w:rPr>
          <w:rFonts w:eastAsia="Times New Roman" w:cs="Times New Roman"/>
          <w:color w:val="000000"/>
          <w:lang w:eastAsia="da-DK"/>
        </w:rPr>
        <w:t xml:space="preserve">et </w:t>
      </w:r>
      <w:r w:rsidRPr="00577043">
        <w:rPr>
          <w:rFonts w:eastAsia="Times New Roman" w:cs="Times New Roman"/>
          <w:color w:val="000000"/>
          <w:lang w:eastAsia="da-DK"/>
        </w:rPr>
        <w:t xml:space="preserve">foreslås </w:t>
      </w:r>
      <w:r w:rsidR="00BA17EB" w:rsidRPr="00577043">
        <w:rPr>
          <w:rFonts w:eastAsia="Times New Roman" w:cs="Times New Roman"/>
          <w:color w:val="000000"/>
          <w:lang w:eastAsia="da-DK"/>
        </w:rPr>
        <w:t xml:space="preserve">med § </w:t>
      </w:r>
      <w:r w:rsidR="00532DAE">
        <w:rPr>
          <w:rFonts w:eastAsia="Times New Roman" w:cs="Times New Roman"/>
          <w:color w:val="000000"/>
          <w:lang w:eastAsia="da-DK"/>
        </w:rPr>
        <w:t>32</w:t>
      </w:r>
      <w:r w:rsidR="00BA17EB" w:rsidRPr="00577043">
        <w:rPr>
          <w:rFonts w:eastAsia="Times New Roman" w:cs="Times New Roman"/>
          <w:color w:val="000000"/>
          <w:lang w:eastAsia="da-DK"/>
        </w:rPr>
        <w:t xml:space="preserve">, at sponsor kan indbringe en afgørelse for </w:t>
      </w:r>
      <w:r w:rsidR="00A22EAD" w:rsidRPr="00577043">
        <w:rPr>
          <w:rFonts w:eastAsia="Times New Roman" w:cs="Times New Roman"/>
          <w:color w:val="000000"/>
          <w:lang w:eastAsia="da-DK"/>
        </w:rPr>
        <w:t>Sundheds- og Ældreministeriet</w:t>
      </w:r>
      <w:r w:rsidR="00BA17EB" w:rsidRPr="00577043">
        <w:rPr>
          <w:rFonts w:eastAsia="Times New Roman" w:cs="Times New Roman"/>
          <w:color w:val="000000"/>
          <w:lang w:eastAsia="da-DK"/>
        </w:rPr>
        <w:t xml:space="preserve"> for så vidt angår retlige forhold. </w:t>
      </w:r>
    </w:p>
    <w:p w14:paraId="273EB663" w14:textId="77777777" w:rsidR="00D8209F" w:rsidRDefault="00D8209F" w:rsidP="00BA17EB">
      <w:pPr>
        <w:rPr>
          <w:rFonts w:eastAsia="Times New Roman" w:cs="Times New Roman"/>
          <w:color w:val="000000"/>
          <w:lang w:eastAsia="da-DK"/>
        </w:rPr>
      </w:pPr>
    </w:p>
    <w:p w14:paraId="2BE7BE25" w14:textId="77777777" w:rsidR="00D8209F" w:rsidRDefault="00D8209F" w:rsidP="00BA17EB">
      <w:pPr>
        <w:rPr>
          <w:rFonts w:eastAsia="Times New Roman" w:cs="Times New Roman"/>
          <w:color w:val="000000"/>
          <w:lang w:eastAsia="da-DK"/>
        </w:rPr>
      </w:pPr>
      <w:r>
        <w:rPr>
          <w:rFonts w:eastAsia="Times New Roman" w:cs="Times New Roman"/>
          <w:color w:val="000000"/>
          <w:lang w:eastAsia="da-DK"/>
        </w:rPr>
        <w:t xml:space="preserve">Det bemærkes, at forordningen også stiller krav om, at medlemsstaterne sikrer, at der findes en erstatningsordning for forsøgspersoner, der har lidt en skade ved deltagelse i et klinisk forsøg, jf. </w:t>
      </w:r>
      <w:r w:rsidR="00AB403F" w:rsidRPr="00577043">
        <w:rPr>
          <w:rFonts w:eastAsia="Times New Roman" w:cs="Times New Roman"/>
          <w:bCs/>
          <w:color w:val="000000"/>
          <w:lang w:eastAsia="da-DK"/>
        </w:rPr>
        <w:t>art</w:t>
      </w:r>
      <w:r w:rsidR="00AB403F">
        <w:rPr>
          <w:rFonts w:eastAsia="Times New Roman" w:cs="Times New Roman"/>
          <w:bCs/>
          <w:color w:val="000000"/>
          <w:lang w:eastAsia="da-DK"/>
        </w:rPr>
        <w:t>ikel</w:t>
      </w:r>
      <w:r>
        <w:rPr>
          <w:rFonts w:eastAsia="Times New Roman" w:cs="Times New Roman"/>
          <w:color w:val="000000"/>
          <w:lang w:eastAsia="da-DK"/>
        </w:rPr>
        <w:t xml:space="preserve"> 76. Det er Ministeriet for Sundhed og Forebyggelses vurdering, at Danmark </w:t>
      </w:r>
      <w:r w:rsidR="00AA7044">
        <w:rPr>
          <w:rFonts w:eastAsia="Times New Roman" w:cs="Times New Roman"/>
          <w:color w:val="000000"/>
          <w:lang w:eastAsia="da-DK"/>
        </w:rPr>
        <w:t>opfylde</w:t>
      </w:r>
      <w:r w:rsidR="00C06CAC">
        <w:rPr>
          <w:rFonts w:eastAsia="Times New Roman" w:cs="Times New Roman"/>
          <w:color w:val="000000"/>
          <w:lang w:eastAsia="da-DK"/>
        </w:rPr>
        <w:t>r</w:t>
      </w:r>
      <w:r w:rsidR="00AA7044">
        <w:rPr>
          <w:rFonts w:eastAsia="Times New Roman" w:cs="Times New Roman"/>
          <w:color w:val="000000"/>
          <w:lang w:eastAsia="da-DK"/>
        </w:rPr>
        <w:t xml:space="preserve"> dette krav, idet forsøgspersoner i samme omfang som patienter er omfattet af patienterstatningsordningen, jf. lov om klage- og erstatningsadgang i sygehusvæsenet, jf. lovbekendtgørelse af 13. november 2011. Såfremt et forsøg udføres under direkte ansvar af et privat firma, </w:t>
      </w:r>
      <w:r w:rsidR="00965AA2">
        <w:rPr>
          <w:rFonts w:eastAsia="Times New Roman" w:cs="Times New Roman"/>
          <w:color w:val="000000"/>
          <w:lang w:eastAsia="da-DK"/>
        </w:rPr>
        <w:t xml:space="preserve">vil forsøgspersoner dog ikke være omfattet af patienterstatningsordningen, og i disse tilfælde </w:t>
      </w:r>
      <w:r w:rsidR="00D46DD5">
        <w:rPr>
          <w:rFonts w:eastAsia="Times New Roman" w:cs="Times New Roman"/>
          <w:color w:val="000000"/>
          <w:lang w:eastAsia="da-DK"/>
        </w:rPr>
        <w:t xml:space="preserve">skal </w:t>
      </w:r>
      <w:r w:rsidR="00AA7044">
        <w:rPr>
          <w:rFonts w:eastAsia="Times New Roman" w:cs="Times New Roman"/>
          <w:color w:val="000000"/>
          <w:lang w:eastAsia="da-DK"/>
        </w:rPr>
        <w:t xml:space="preserve">den videnskabsetiske lægemiddelkomité i medfør af forordningens </w:t>
      </w:r>
      <w:r w:rsidR="00AB403F" w:rsidRPr="00577043">
        <w:rPr>
          <w:rFonts w:eastAsia="Times New Roman" w:cs="Times New Roman"/>
          <w:bCs/>
          <w:color w:val="000000"/>
          <w:lang w:eastAsia="da-DK"/>
        </w:rPr>
        <w:t>art</w:t>
      </w:r>
      <w:r w:rsidR="00AB403F">
        <w:rPr>
          <w:rFonts w:eastAsia="Times New Roman" w:cs="Times New Roman"/>
          <w:bCs/>
          <w:color w:val="000000"/>
          <w:lang w:eastAsia="da-DK"/>
        </w:rPr>
        <w:t>ikel</w:t>
      </w:r>
      <w:r w:rsidR="00AA7044">
        <w:rPr>
          <w:rFonts w:eastAsia="Times New Roman" w:cs="Times New Roman"/>
          <w:color w:val="000000"/>
          <w:lang w:eastAsia="da-DK"/>
        </w:rPr>
        <w:t xml:space="preserve"> 76</w:t>
      </w:r>
      <w:r w:rsidR="00D46DD5">
        <w:rPr>
          <w:rFonts w:eastAsia="Times New Roman" w:cs="Times New Roman"/>
          <w:color w:val="000000"/>
          <w:lang w:eastAsia="da-DK"/>
        </w:rPr>
        <w:t xml:space="preserve"> påse,</w:t>
      </w:r>
      <w:r w:rsidR="00AA7044">
        <w:rPr>
          <w:rFonts w:eastAsia="Times New Roman" w:cs="Times New Roman"/>
          <w:color w:val="000000"/>
          <w:lang w:eastAsia="da-DK"/>
        </w:rPr>
        <w:t xml:space="preserve"> at </w:t>
      </w:r>
      <w:r w:rsidR="00E06F78">
        <w:rPr>
          <w:rFonts w:eastAsia="Times New Roman" w:cs="Times New Roman"/>
          <w:color w:val="000000"/>
          <w:lang w:eastAsia="da-DK"/>
        </w:rPr>
        <w:t>der er tegnet forsikring, eller at der foreligger en godtgørelsesordning til dæk</w:t>
      </w:r>
      <w:r w:rsidR="00C06CAC">
        <w:rPr>
          <w:rFonts w:eastAsia="Times New Roman" w:cs="Times New Roman"/>
          <w:color w:val="000000"/>
          <w:lang w:eastAsia="da-DK"/>
        </w:rPr>
        <w:t xml:space="preserve">ning af </w:t>
      </w:r>
      <w:r w:rsidR="00E06F78">
        <w:rPr>
          <w:rFonts w:eastAsia="Times New Roman" w:cs="Times New Roman"/>
          <w:color w:val="000000"/>
          <w:lang w:eastAsia="da-DK"/>
        </w:rPr>
        <w:t>investigators og sponsors ansvar.</w:t>
      </w:r>
      <w:r w:rsidR="0026562F">
        <w:rPr>
          <w:rFonts w:eastAsia="Times New Roman" w:cs="Times New Roman"/>
          <w:color w:val="000000"/>
          <w:lang w:eastAsia="da-DK"/>
        </w:rPr>
        <w:t xml:space="preserve"> Det bemærkes, at </w:t>
      </w:r>
      <w:r w:rsidR="00C06CAC">
        <w:rPr>
          <w:rFonts w:eastAsia="Times New Roman" w:cs="Times New Roman"/>
          <w:color w:val="000000"/>
          <w:lang w:eastAsia="da-DK"/>
        </w:rPr>
        <w:t>tilsvarende</w:t>
      </w:r>
      <w:r w:rsidR="0026562F">
        <w:rPr>
          <w:rFonts w:eastAsia="Times New Roman" w:cs="Times New Roman"/>
          <w:color w:val="000000"/>
          <w:lang w:eastAsia="da-DK"/>
        </w:rPr>
        <w:t xml:space="preserve"> følger af gældende regler, jf. komitélovens § 20, stk. 1, nr. 7.</w:t>
      </w:r>
    </w:p>
    <w:p w14:paraId="74766489" w14:textId="77777777" w:rsidR="00D8209F" w:rsidRPr="00577043" w:rsidRDefault="00D8209F" w:rsidP="00BA17EB">
      <w:pPr>
        <w:rPr>
          <w:rFonts w:eastAsia="Times New Roman" w:cs="Times New Roman"/>
          <w:color w:val="000000"/>
          <w:lang w:eastAsia="da-DK"/>
        </w:rPr>
      </w:pPr>
    </w:p>
    <w:p w14:paraId="7CFBC677" w14:textId="77777777" w:rsidR="00A37F8F" w:rsidRPr="00577043" w:rsidRDefault="00A37F8F" w:rsidP="00A37F8F">
      <w:pPr>
        <w:rPr>
          <w:lang w:eastAsia="da-DK"/>
        </w:rPr>
      </w:pPr>
    </w:p>
    <w:p w14:paraId="61F9B63E" w14:textId="77777777" w:rsidR="000E5FFB" w:rsidRPr="00577043" w:rsidRDefault="003A75A5" w:rsidP="000E5FFB">
      <w:pPr>
        <w:pStyle w:val="Overskrift5"/>
        <w:rPr>
          <w:rFonts w:eastAsia="Times New Roman"/>
          <w:lang w:eastAsia="da-DK"/>
        </w:rPr>
      </w:pPr>
      <w:r>
        <w:rPr>
          <w:rFonts w:eastAsia="Times New Roman"/>
          <w:lang w:eastAsia="da-DK"/>
        </w:rPr>
        <w:t xml:space="preserve">2.12. </w:t>
      </w:r>
      <w:r w:rsidR="000E5FFB" w:rsidRPr="00577043">
        <w:rPr>
          <w:rFonts w:eastAsia="Times New Roman"/>
          <w:lang w:eastAsia="da-DK"/>
        </w:rPr>
        <w:t>Finansiering</w:t>
      </w:r>
    </w:p>
    <w:p w14:paraId="43D161D5" w14:textId="77777777" w:rsidR="000E5FFB" w:rsidRPr="00577043" w:rsidRDefault="000E5FFB" w:rsidP="000E5FFB">
      <w:pPr>
        <w:keepNext/>
        <w:keepLines/>
        <w:rPr>
          <w:rFonts w:eastAsia="Times New Roman" w:cs="Times New Roman"/>
          <w:color w:val="000000"/>
          <w:lang w:eastAsia="da-DK"/>
        </w:rPr>
      </w:pPr>
    </w:p>
    <w:p w14:paraId="52A30524" w14:textId="77777777" w:rsidR="000E5FFB" w:rsidRPr="00577043" w:rsidRDefault="003A75A5" w:rsidP="000E5FFB">
      <w:pPr>
        <w:keepNext/>
        <w:keepLines/>
        <w:rPr>
          <w:rFonts w:eastAsia="Times New Roman" w:cs="Times New Roman"/>
          <w:i/>
          <w:color w:val="000000"/>
          <w:lang w:eastAsia="da-DK"/>
        </w:rPr>
      </w:pPr>
      <w:r>
        <w:rPr>
          <w:rFonts w:eastAsia="Times New Roman" w:cs="Times New Roman"/>
          <w:i/>
          <w:color w:val="000000"/>
          <w:lang w:eastAsia="da-DK"/>
        </w:rPr>
        <w:t>2.12.1</w:t>
      </w:r>
      <w:r w:rsidR="00E83B4A">
        <w:rPr>
          <w:rFonts w:eastAsia="Times New Roman" w:cs="Times New Roman"/>
          <w:i/>
          <w:color w:val="000000"/>
          <w:lang w:eastAsia="da-DK"/>
        </w:rPr>
        <w:t>.</w:t>
      </w:r>
      <w:r w:rsidR="000E5FFB" w:rsidRPr="00577043">
        <w:rPr>
          <w:rFonts w:eastAsia="Times New Roman" w:cs="Times New Roman"/>
          <w:i/>
          <w:color w:val="000000"/>
          <w:lang w:eastAsia="da-DK"/>
        </w:rPr>
        <w:t xml:space="preserve"> Gældende re</w:t>
      </w:r>
      <w:r w:rsidR="00E83B4A">
        <w:rPr>
          <w:rFonts w:eastAsia="Times New Roman" w:cs="Times New Roman"/>
          <w:i/>
          <w:color w:val="000000"/>
          <w:lang w:eastAsia="da-DK"/>
        </w:rPr>
        <w:t>t</w:t>
      </w:r>
    </w:p>
    <w:p w14:paraId="53090AF9" w14:textId="77777777" w:rsidR="000E5FFB" w:rsidRPr="00577043" w:rsidRDefault="000E5FFB" w:rsidP="000E5FFB">
      <w:pPr>
        <w:keepNext/>
        <w:keepLines/>
        <w:rPr>
          <w:rFonts w:eastAsia="Times New Roman" w:cs="Times New Roman"/>
          <w:bCs/>
          <w:color w:val="000000"/>
          <w:lang w:eastAsia="da-DK"/>
        </w:rPr>
      </w:pPr>
      <w:r w:rsidRPr="00577043">
        <w:rPr>
          <w:rFonts w:eastAsia="Times New Roman" w:cs="Times New Roman"/>
          <w:bCs/>
          <w:color w:val="000000"/>
          <w:lang w:eastAsia="da-DK"/>
        </w:rPr>
        <w:t xml:space="preserve">Udgifterne til de regionale komiteer afholdes af regionsrådene, jf. komitélovens § 39, stk. 1, mens udgifterne til DNVK afholdes af staten, jf. komitélovens § 40, stk. 1. Udgifterne finansieres delvis via gebyrer. </w:t>
      </w:r>
      <w:r w:rsidR="00C87B4A">
        <w:rPr>
          <w:rFonts w:eastAsia="Times New Roman" w:cs="Times New Roman"/>
          <w:bCs/>
          <w:color w:val="000000"/>
          <w:lang w:eastAsia="da-DK"/>
        </w:rPr>
        <w:t xml:space="preserve">Gebyret må ikke have karakter af en skat, hvorfor det ikke må overstige, hvad der svarer til det enkelte projekts forventede andel af den pågældende komités samlede årlige udgift, jf. bemærkningerne til forslaget til den gældende komitéloves §§ 39 og 40. </w:t>
      </w:r>
      <w:r w:rsidRPr="00577043">
        <w:rPr>
          <w:rFonts w:eastAsia="Times New Roman" w:cs="Times New Roman"/>
          <w:color w:val="000000"/>
          <w:lang w:eastAsia="da-DK"/>
        </w:rPr>
        <w:t>De nærmere regler for gebyrerne til den videnskabsetiske behandling er i dag fastsat i bekendtgørelse nr. 1159 af 8. december 2011 om gebyr for videnskabsetisk behandling af sundhedsvidenskabelige forskningsprojekter.</w:t>
      </w:r>
    </w:p>
    <w:p w14:paraId="1CF6C495" w14:textId="77777777" w:rsidR="000E5FFB" w:rsidRPr="00577043" w:rsidRDefault="000E5FFB" w:rsidP="000E5FFB">
      <w:pPr>
        <w:keepNext/>
        <w:rPr>
          <w:rFonts w:eastAsia="Times New Roman" w:cs="Times New Roman"/>
          <w:bCs/>
          <w:color w:val="000000"/>
          <w:lang w:eastAsia="da-DK"/>
        </w:rPr>
      </w:pPr>
    </w:p>
    <w:p w14:paraId="41E03E9A" w14:textId="77777777" w:rsidR="000E5FFB" w:rsidRPr="00577043" w:rsidRDefault="000E5FFB" w:rsidP="00ED2E84">
      <w:pPr>
        <w:keepNext/>
        <w:rPr>
          <w:rFonts w:eastAsia="Times New Roman" w:cs="Times New Roman"/>
          <w:color w:val="000000"/>
          <w:lang w:eastAsia="da-DK"/>
        </w:rPr>
      </w:pPr>
      <w:r w:rsidRPr="00577043">
        <w:rPr>
          <w:rFonts w:eastAsia="Times New Roman" w:cs="Times New Roman"/>
          <w:bCs/>
          <w:color w:val="000000"/>
          <w:lang w:eastAsia="da-DK"/>
        </w:rPr>
        <w:t xml:space="preserve">Udgifterne til </w:t>
      </w:r>
      <w:r w:rsidR="0058651B">
        <w:rPr>
          <w:rFonts w:eastAsia="Times New Roman" w:cs="Times New Roman"/>
          <w:bCs/>
          <w:color w:val="000000"/>
          <w:lang w:eastAsia="da-DK"/>
        </w:rPr>
        <w:t>Lægemiddelstyrelsen</w:t>
      </w:r>
      <w:r w:rsidRPr="00577043">
        <w:rPr>
          <w:rFonts w:eastAsia="Times New Roman" w:cs="Times New Roman"/>
          <w:bCs/>
          <w:color w:val="000000"/>
          <w:lang w:eastAsia="da-DK"/>
        </w:rPr>
        <w:t>s behandling af ansøgninger og opfølgning på godkendte forsø</w:t>
      </w:r>
      <w:r w:rsidR="00FC2BD7">
        <w:rPr>
          <w:rFonts w:eastAsia="Times New Roman" w:cs="Times New Roman"/>
          <w:bCs/>
          <w:color w:val="000000"/>
          <w:lang w:eastAsia="da-DK"/>
        </w:rPr>
        <w:t xml:space="preserve">g finansieres ligeledes </w:t>
      </w:r>
      <w:r w:rsidRPr="00577043">
        <w:rPr>
          <w:rFonts w:eastAsia="Times New Roman" w:cs="Times New Roman"/>
          <w:bCs/>
          <w:color w:val="000000"/>
          <w:lang w:eastAsia="da-DK"/>
        </w:rPr>
        <w:t>via gebyrer, jf. § 103 i lov om lægemidler</w:t>
      </w:r>
      <w:r w:rsidR="00FC2BD7">
        <w:rPr>
          <w:rFonts w:eastAsia="Times New Roman" w:cs="Times New Roman"/>
          <w:bCs/>
          <w:color w:val="000000"/>
          <w:lang w:eastAsia="da-DK"/>
        </w:rPr>
        <w:t xml:space="preserve"> og bekendtgørelse nr. 1570 af 16. december 2013 om gebyr for kliniske forsøg</w:t>
      </w:r>
      <w:r w:rsidRPr="00577043">
        <w:rPr>
          <w:rFonts w:eastAsia="Times New Roman" w:cs="Times New Roman"/>
          <w:bCs/>
          <w:color w:val="000000"/>
          <w:lang w:eastAsia="da-DK"/>
        </w:rPr>
        <w:t>.</w:t>
      </w:r>
      <w:r w:rsidR="00912A54">
        <w:rPr>
          <w:rFonts w:eastAsia="Times New Roman" w:cs="Times New Roman"/>
          <w:bCs/>
          <w:color w:val="000000"/>
          <w:lang w:eastAsia="da-DK"/>
        </w:rPr>
        <w:t xml:space="preserve"> Gebyret opkræves dels som et aktivitetsbestemt ge</w:t>
      </w:r>
      <w:r w:rsidR="00C87B4A">
        <w:rPr>
          <w:rFonts w:eastAsia="Times New Roman" w:cs="Times New Roman"/>
          <w:bCs/>
          <w:color w:val="000000"/>
          <w:lang w:eastAsia="da-DK"/>
        </w:rPr>
        <w:t>byr, der dækker udgifter til st</w:t>
      </w:r>
      <w:r w:rsidR="00912A54">
        <w:rPr>
          <w:rFonts w:eastAsia="Times New Roman" w:cs="Times New Roman"/>
          <w:bCs/>
          <w:color w:val="000000"/>
          <w:lang w:eastAsia="da-DK"/>
        </w:rPr>
        <w:t>y</w:t>
      </w:r>
      <w:r w:rsidR="00C87B4A">
        <w:rPr>
          <w:rFonts w:eastAsia="Times New Roman" w:cs="Times New Roman"/>
          <w:bCs/>
          <w:color w:val="000000"/>
          <w:lang w:eastAsia="da-DK"/>
        </w:rPr>
        <w:t>r</w:t>
      </w:r>
      <w:r w:rsidR="00912A54">
        <w:rPr>
          <w:rFonts w:eastAsia="Times New Roman" w:cs="Times New Roman"/>
          <w:bCs/>
          <w:color w:val="000000"/>
          <w:lang w:eastAsia="da-DK"/>
        </w:rPr>
        <w:t>elsens konkrete myndighedsarbejde i forbindelse med en ansøgning, dels via et årligt gebyr som dækker udgifter til styrelsens generelle og tværgående arbejdsopgaver og processer, der ikke kan gebyrbelægges hver for sig.</w:t>
      </w:r>
      <w:r w:rsidRPr="00577043">
        <w:rPr>
          <w:rFonts w:eastAsia="Times New Roman" w:cs="Times New Roman"/>
          <w:bCs/>
          <w:color w:val="000000"/>
          <w:lang w:eastAsia="da-DK"/>
        </w:rPr>
        <w:t xml:space="preserve"> </w:t>
      </w:r>
      <w:r w:rsidR="00C87B4A">
        <w:rPr>
          <w:rFonts w:eastAsia="Times New Roman" w:cs="Times New Roman"/>
          <w:bCs/>
          <w:color w:val="000000"/>
          <w:lang w:eastAsia="da-DK"/>
        </w:rPr>
        <w:t xml:space="preserve">Begge gebyrtyper er omkostningsbestemte og modsvarer de omkostninger, som </w:t>
      </w:r>
      <w:r w:rsidR="0058651B">
        <w:rPr>
          <w:rFonts w:eastAsia="Times New Roman" w:cs="Times New Roman"/>
          <w:bCs/>
          <w:color w:val="000000"/>
          <w:lang w:eastAsia="da-DK"/>
        </w:rPr>
        <w:t>Lægemiddelstyrelsen</w:t>
      </w:r>
      <w:r w:rsidR="00C87B4A">
        <w:rPr>
          <w:rFonts w:eastAsia="Times New Roman" w:cs="Times New Roman"/>
          <w:bCs/>
          <w:color w:val="000000"/>
          <w:lang w:eastAsia="da-DK"/>
        </w:rPr>
        <w:t xml:space="preserve"> har ved opgavernes varetagelse. Gebyrerne anvendes udelukkende inden for lægemiddelområdet til opgaver, der er knyttet til aktiviteter udøvet af de virksomheder, som betaler gebyrerne</w:t>
      </w:r>
      <w:r w:rsidR="0086635C">
        <w:rPr>
          <w:rFonts w:eastAsia="Times New Roman" w:cs="Times New Roman"/>
          <w:bCs/>
          <w:color w:val="000000"/>
          <w:lang w:eastAsia="da-DK"/>
        </w:rPr>
        <w:t>, jf. forslaget til lægemiddellovens § 103, stk. 1 (LSF 136, 2014/1)</w:t>
      </w:r>
      <w:r w:rsidR="00C87B4A">
        <w:rPr>
          <w:rFonts w:eastAsia="Times New Roman" w:cs="Times New Roman"/>
          <w:bCs/>
          <w:color w:val="000000"/>
          <w:lang w:eastAsia="da-DK"/>
        </w:rPr>
        <w:t>.</w:t>
      </w:r>
    </w:p>
    <w:p w14:paraId="52CE75CE" w14:textId="77777777" w:rsidR="000E5FFB" w:rsidRPr="00577043" w:rsidRDefault="000E5FFB" w:rsidP="000E5FFB">
      <w:pPr>
        <w:keepNext/>
        <w:rPr>
          <w:rFonts w:eastAsia="Times New Roman" w:cs="Times New Roman"/>
          <w:color w:val="000000"/>
          <w:lang w:eastAsia="da-DK"/>
        </w:rPr>
      </w:pPr>
    </w:p>
    <w:p w14:paraId="558A5433" w14:textId="77777777" w:rsidR="000E5FFB" w:rsidRPr="00577043" w:rsidRDefault="000E5FFB" w:rsidP="000E5FFB">
      <w:pPr>
        <w:keepNext/>
        <w:rPr>
          <w:rFonts w:eastAsia="Times New Roman" w:cs="Times New Roman"/>
          <w:bCs/>
          <w:color w:val="000000"/>
          <w:lang w:eastAsia="da-DK"/>
        </w:rPr>
      </w:pPr>
      <w:r w:rsidRPr="00577043">
        <w:rPr>
          <w:rFonts w:eastAsia="Times New Roman" w:cs="Times New Roman"/>
          <w:bCs/>
          <w:color w:val="000000"/>
          <w:lang w:eastAsia="da-DK"/>
        </w:rPr>
        <w:t xml:space="preserve">Formanden og næstformanden og medlemmerne af </w:t>
      </w:r>
      <w:r w:rsidR="001C343F">
        <w:rPr>
          <w:rFonts w:eastAsia="Times New Roman" w:cs="Times New Roman"/>
          <w:bCs/>
          <w:color w:val="000000"/>
          <w:lang w:eastAsia="da-DK"/>
        </w:rPr>
        <w:t>DNVK</w:t>
      </w:r>
      <w:r w:rsidRPr="00577043">
        <w:rPr>
          <w:rFonts w:eastAsia="Times New Roman" w:cs="Times New Roman"/>
          <w:bCs/>
          <w:color w:val="000000"/>
          <w:lang w:eastAsia="da-DK"/>
        </w:rPr>
        <w:t xml:space="preserve">, som er udpeget af </w:t>
      </w:r>
      <w:r w:rsidR="00A22EAD" w:rsidRPr="00577043">
        <w:rPr>
          <w:rFonts w:eastAsia="Times New Roman" w:cs="Times New Roman"/>
          <w:bCs/>
          <w:color w:val="000000"/>
          <w:lang w:eastAsia="da-DK"/>
        </w:rPr>
        <w:t>sundheds- og ældreministeren</w:t>
      </w:r>
      <w:r w:rsidRPr="00577043">
        <w:rPr>
          <w:rFonts w:eastAsia="Times New Roman" w:cs="Times New Roman"/>
          <w:bCs/>
          <w:color w:val="000000"/>
          <w:lang w:eastAsia="da-DK"/>
        </w:rPr>
        <w:t xml:space="preserve"> vederlægges efter aftale med ministeren, som endvidere afholder udgifterne hertil, jf. § 40, stk. 3, i komitéloven. </w:t>
      </w:r>
    </w:p>
    <w:p w14:paraId="36CD05BD" w14:textId="77777777" w:rsidR="000E5FFB" w:rsidRPr="00577043" w:rsidRDefault="000E5FFB" w:rsidP="000E5FFB">
      <w:pPr>
        <w:rPr>
          <w:rFonts w:eastAsia="Times New Roman" w:cs="Times New Roman"/>
          <w:color w:val="000000"/>
          <w:lang w:eastAsia="da-DK"/>
        </w:rPr>
      </w:pPr>
    </w:p>
    <w:p w14:paraId="7261FBFF" w14:textId="77777777" w:rsidR="000E5FFB" w:rsidRPr="00577043" w:rsidRDefault="003A75A5" w:rsidP="000E5FFB">
      <w:pPr>
        <w:rPr>
          <w:rFonts w:eastAsia="Times New Roman" w:cs="Times New Roman"/>
          <w:i/>
          <w:color w:val="000000"/>
          <w:lang w:eastAsia="da-DK"/>
        </w:rPr>
      </w:pPr>
      <w:r>
        <w:rPr>
          <w:rFonts w:eastAsia="Times New Roman" w:cs="Times New Roman"/>
          <w:i/>
          <w:color w:val="000000"/>
          <w:lang w:eastAsia="da-DK"/>
        </w:rPr>
        <w:t xml:space="preserve">2.12.2. </w:t>
      </w:r>
      <w:r w:rsidR="000E5FFB" w:rsidRPr="00577043">
        <w:rPr>
          <w:rFonts w:eastAsia="Times New Roman" w:cs="Times New Roman"/>
          <w:i/>
          <w:color w:val="000000"/>
          <w:lang w:eastAsia="da-DK"/>
        </w:rPr>
        <w:t>Forslag</w:t>
      </w:r>
    </w:p>
    <w:p w14:paraId="340D6BC2" w14:textId="77777777" w:rsidR="000E5FFB" w:rsidRPr="00577043" w:rsidRDefault="000E5FFB" w:rsidP="000E5FFB">
      <w:pPr>
        <w:rPr>
          <w:rFonts w:eastAsia="Times New Roman" w:cs="Times New Roman"/>
          <w:color w:val="000000"/>
          <w:lang w:eastAsia="da-DK"/>
        </w:rPr>
      </w:pPr>
      <w:r w:rsidRPr="00577043">
        <w:rPr>
          <w:rFonts w:eastAsia="Times New Roman" w:cs="Times New Roman"/>
          <w:color w:val="000000"/>
          <w:lang w:eastAsia="da-DK"/>
        </w:rPr>
        <w:t xml:space="preserve">Det er fastsat i forordningens </w:t>
      </w:r>
      <w:r w:rsidR="00A10484" w:rsidRPr="00577043">
        <w:rPr>
          <w:rFonts w:eastAsia="Times New Roman" w:cs="Times New Roman"/>
          <w:bCs/>
          <w:color w:val="000000"/>
          <w:lang w:eastAsia="da-DK"/>
        </w:rPr>
        <w:t>art</w:t>
      </w:r>
      <w:r w:rsidR="00A10484">
        <w:rPr>
          <w:rFonts w:eastAsia="Times New Roman" w:cs="Times New Roman"/>
          <w:bCs/>
          <w:color w:val="000000"/>
          <w:lang w:eastAsia="da-DK"/>
        </w:rPr>
        <w:t>ikel</w:t>
      </w:r>
      <w:r w:rsidRPr="00577043">
        <w:rPr>
          <w:rFonts w:eastAsia="Times New Roman" w:cs="Times New Roman"/>
          <w:color w:val="000000"/>
          <w:lang w:eastAsia="da-DK"/>
        </w:rPr>
        <w:t xml:space="preserve"> 86, at denne ikke berører medlemsstaternes mulighed for at opkræve et </w:t>
      </w:r>
    </w:p>
    <w:p w14:paraId="01EBD0B7" w14:textId="77777777" w:rsidR="000E5FFB" w:rsidRPr="00577043" w:rsidRDefault="000E5FFB" w:rsidP="000E5FFB">
      <w:pPr>
        <w:rPr>
          <w:rFonts w:eastAsia="Times New Roman" w:cs="Times New Roman"/>
          <w:color w:val="000000"/>
          <w:lang w:eastAsia="da-DK"/>
        </w:rPr>
      </w:pPr>
      <w:r w:rsidRPr="00577043">
        <w:rPr>
          <w:rFonts w:eastAsia="Times New Roman" w:cs="Times New Roman"/>
          <w:color w:val="000000"/>
          <w:lang w:eastAsia="da-DK"/>
        </w:rPr>
        <w:t>gebyr for de aktiviteter, der er beskrevet i forordningen på den betingelse, at gebyret fastsættes på en gennemsigtig måde og på grundlag af princippet om omkostningsdækning. Medlemsstaterne kan indføre reducerede gebyrer for ikke-kommercielle forsøg.</w:t>
      </w:r>
    </w:p>
    <w:p w14:paraId="4EB2AAC9" w14:textId="77777777" w:rsidR="000E5FFB" w:rsidRPr="00577043" w:rsidRDefault="000E5FFB" w:rsidP="000E5FFB">
      <w:pPr>
        <w:rPr>
          <w:rFonts w:eastAsia="Times New Roman" w:cs="Times New Roman"/>
          <w:color w:val="000000"/>
          <w:lang w:eastAsia="da-DK"/>
        </w:rPr>
      </w:pPr>
    </w:p>
    <w:p w14:paraId="374EC49A" w14:textId="77777777" w:rsidR="000E5FFB" w:rsidRPr="00577043" w:rsidRDefault="000E5FFB" w:rsidP="000E5FFB">
      <w:pPr>
        <w:rPr>
          <w:rFonts w:eastAsia="Times New Roman" w:cs="Times New Roman"/>
          <w:color w:val="000000"/>
          <w:lang w:eastAsia="da-DK"/>
        </w:rPr>
      </w:pPr>
      <w:r w:rsidRPr="00577043">
        <w:rPr>
          <w:rFonts w:eastAsia="Times New Roman" w:cs="Times New Roman"/>
          <w:color w:val="000000"/>
          <w:lang w:eastAsia="da-DK"/>
        </w:rPr>
        <w:t xml:space="preserve">Det er endvidere fastsat i forordningens </w:t>
      </w:r>
      <w:r w:rsidR="00A10484" w:rsidRPr="00577043">
        <w:rPr>
          <w:rFonts w:eastAsia="Times New Roman" w:cs="Times New Roman"/>
          <w:bCs/>
          <w:color w:val="000000"/>
          <w:lang w:eastAsia="da-DK"/>
        </w:rPr>
        <w:t>art</w:t>
      </w:r>
      <w:r w:rsidR="00A10484">
        <w:rPr>
          <w:rFonts w:eastAsia="Times New Roman" w:cs="Times New Roman"/>
          <w:bCs/>
          <w:color w:val="000000"/>
          <w:lang w:eastAsia="da-DK"/>
        </w:rPr>
        <w:t>ikel</w:t>
      </w:r>
      <w:r w:rsidRPr="00577043">
        <w:rPr>
          <w:rFonts w:eastAsia="Times New Roman" w:cs="Times New Roman"/>
          <w:color w:val="000000"/>
          <w:lang w:eastAsia="da-DK"/>
        </w:rPr>
        <w:t xml:space="preserve"> 87, at en medlemsstat </w:t>
      </w:r>
      <w:r w:rsidR="00F0109B" w:rsidRPr="00577043">
        <w:rPr>
          <w:rFonts w:eastAsia="Times New Roman" w:cs="Times New Roman"/>
          <w:color w:val="000000"/>
          <w:lang w:eastAsia="da-DK"/>
        </w:rPr>
        <w:t xml:space="preserve">kun må opkræve ét gebyr pr. aktivitet. Der må således </w:t>
      </w:r>
      <w:r w:rsidRPr="00577043">
        <w:rPr>
          <w:rFonts w:eastAsia="Times New Roman" w:cs="Times New Roman"/>
          <w:color w:val="000000"/>
          <w:lang w:eastAsia="da-DK"/>
        </w:rPr>
        <w:t xml:space="preserve">ikke </w:t>
      </w:r>
      <w:r w:rsidR="00F0109B" w:rsidRPr="00577043">
        <w:rPr>
          <w:rFonts w:eastAsia="Times New Roman" w:cs="Times New Roman"/>
          <w:color w:val="000000"/>
          <w:lang w:eastAsia="da-DK"/>
        </w:rPr>
        <w:t xml:space="preserve">opkræves </w:t>
      </w:r>
      <w:r w:rsidRPr="00577043">
        <w:rPr>
          <w:rFonts w:eastAsia="Times New Roman" w:cs="Times New Roman"/>
          <w:color w:val="000000"/>
          <w:lang w:eastAsia="da-DK"/>
        </w:rPr>
        <w:t xml:space="preserve">gebyr flere gange til forskellige organer, der er involveret i vurderingen af en ansøgning. </w:t>
      </w:r>
    </w:p>
    <w:p w14:paraId="63D921C8" w14:textId="77777777" w:rsidR="000E5FFB" w:rsidRPr="00577043" w:rsidRDefault="000E5FFB" w:rsidP="000E5FFB">
      <w:pPr>
        <w:rPr>
          <w:rFonts w:eastAsia="Times New Roman" w:cs="Times New Roman"/>
          <w:color w:val="000000"/>
          <w:lang w:eastAsia="da-DK"/>
        </w:rPr>
      </w:pPr>
    </w:p>
    <w:p w14:paraId="1BF1EDB2" w14:textId="77777777" w:rsidR="00F0109B" w:rsidRPr="00577043" w:rsidRDefault="00F0109B" w:rsidP="00F0109B">
      <w:pPr>
        <w:rPr>
          <w:rFonts w:eastAsia="Times New Roman" w:cs="Times New Roman"/>
          <w:color w:val="000000"/>
          <w:lang w:eastAsia="da-DK"/>
        </w:rPr>
      </w:pPr>
      <w:r w:rsidRPr="00577043">
        <w:rPr>
          <w:rFonts w:eastAsia="Times New Roman" w:cs="Times New Roman"/>
          <w:color w:val="000000"/>
          <w:lang w:eastAsia="da-DK"/>
        </w:rPr>
        <w:t xml:space="preserve">Det foreslås, at udgifterne til </w:t>
      </w:r>
      <w:r w:rsidR="0058651B">
        <w:rPr>
          <w:rFonts w:eastAsia="Times New Roman" w:cs="Times New Roman"/>
          <w:color w:val="000000"/>
          <w:lang w:eastAsia="da-DK"/>
        </w:rPr>
        <w:t>Lægemiddelstyrelsen</w:t>
      </w:r>
      <w:r w:rsidRPr="00577043">
        <w:rPr>
          <w:rFonts w:eastAsia="Times New Roman" w:cs="Times New Roman"/>
          <w:color w:val="000000"/>
          <w:lang w:eastAsia="da-DK"/>
        </w:rPr>
        <w:t xml:space="preserve"> og de videnskabsetiske lægemiddelkomiteers behandling af ansøgninger om godkendelse af kliniske forsøg og </w:t>
      </w:r>
      <w:r w:rsidR="00AD484F">
        <w:rPr>
          <w:rFonts w:eastAsia="Times New Roman" w:cs="Times New Roman"/>
          <w:color w:val="000000"/>
          <w:lang w:eastAsia="da-DK"/>
        </w:rPr>
        <w:t>kontrol</w:t>
      </w:r>
      <w:r w:rsidRPr="00577043">
        <w:rPr>
          <w:rFonts w:eastAsia="Times New Roman" w:cs="Times New Roman"/>
          <w:color w:val="000000"/>
          <w:lang w:eastAsia="da-DK"/>
        </w:rPr>
        <w:t xml:space="preserve"> med godkendte kliniske forsøg, herunder </w:t>
      </w:r>
      <w:r w:rsidRPr="00577043">
        <w:rPr>
          <w:rFonts w:eastAsia="Times New Roman" w:cs="Times New Roman"/>
          <w:color w:val="000000"/>
          <w:lang w:eastAsia="da-DK"/>
        </w:rPr>
        <w:lastRenderedPageBreak/>
        <w:t xml:space="preserve">udgifterne til medlemmerne af de videnskabsetiske lægemiddelkomiteer og sekretariatsbetjeningen af disse, afholdes af staten. Det foreslås endvidere, at disse udgifter dækkes af gebyrer. </w:t>
      </w:r>
    </w:p>
    <w:p w14:paraId="2B3878B1" w14:textId="77777777" w:rsidR="00F0109B" w:rsidRPr="00577043" w:rsidRDefault="00F0109B" w:rsidP="000E5FFB">
      <w:pPr>
        <w:rPr>
          <w:rFonts w:eastAsia="Times New Roman" w:cs="Times New Roman"/>
          <w:color w:val="000000"/>
          <w:lang w:eastAsia="da-DK"/>
        </w:rPr>
      </w:pPr>
    </w:p>
    <w:p w14:paraId="307AEC87" w14:textId="77777777" w:rsidR="000E5FFB" w:rsidRPr="00577043" w:rsidRDefault="00F0109B" w:rsidP="000E5FFB">
      <w:pPr>
        <w:rPr>
          <w:rFonts w:eastAsia="Times New Roman" w:cs="Times New Roman"/>
          <w:color w:val="000000"/>
          <w:lang w:eastAsia="da-DK"/>
        </w:rPr>
      </w:pPr>
      <w:r w:rsidRPr="00577043">
        <w:rPr>
          <w:rFonts w:eastAsia="Times New Roman" w:cs="Times New Roman"/>
          <w:color w:val="000000"/>
          <w:lang w:eastAsia="da-DK"/>
        </w:rPr>
        <w:t>Det</w:t>
      </w:r>
      <w:r w:rsidR="000E5FFB" w:rsidRPr="00577043">
        <w:rPr>
          <w:rFonts w:eastAsia="Times New Roman" w:cs="Times New Roman"/>
          <w:color w:val="000000"/>
          <w:lang w:eastAsia="da-DK"/>
        </w:rPr>
        <w:t xml:space="preserve"> forslås</w:t>
      </w:r>
      <w:r w:rsidRPr="00577043">
        <w:rPr>
          <w:rFonts w:eastAsia="Times New Roman" w:cs="Times New Roman"/>
          <w:color w:val="000000"/>
          <w:lang w:eastAsia="da-DK"/>
        </w:rPr>
        <w:t xml:space="preserve"> i overen</w:t>
      </w:r>
      <w:r w:rsidR="00EA4DF2" w:rsidRPr="00577043">
        <w:rPr>
          <w:rFonts w:eastAsia="Times New Roman" w:cs="Times New Roman"/>
          <w:color w:val="000000"/>
          <w:lang w:eastAsia="da-DK"/>
        </w:rPr>
        <w:t>s</w:t>
      </w:r>
      <w:r w:rsidRPr="00577043">
        <w:rPr>
          <w:rFonts w:eastAsia="Times New Roman" w:cs="Times New Roman"/>
          <w:color w:val="000000"/>
          <w:lang w:eastAsia="da-DK"/>
        </w:rPr>
        <w:t xml:space="preserve">stemmelse med forordningens </w:t>
      </w:r>
      <w:r w:rsidR="00A10484" w:rsidRPr="00577043">
        <w:rPr>
          <w:rFonts w:eastAsia="Times New Roman" w:cs="Times New Roman"/>
          <w:bCs/>
          <w:color w:val="000000"/>
          <w:lang w:eastAsia="da-DK"/>
        </w:rPr>
        <w:t>art</w:t>
      </w:r>
      <w:r w:rsidR="00A10484">
        <w:rPr>
          <w:rFonts w:eastAsia="Times New Roman" w:cs="Times New Roman"/>
          <w:bCs/>
          <w:color w:val="000000"/>
          <w:lang w:eastAsia="da-DK"/>
        </w:rPr>
        <w:t>ikel</w:t>
      </w:r>
      <w:r w:rsidRPr="00577043">
        <w:rPr>
          <w:rFonts w:eastAsia="Times New Roman" w:cs="Times New Roman"/>
          <w:color w:val="000000"/>
          <w:lang w:eastAsia="da-DK"/>
        </w:rPr>
        <w:t xml:space="preserve"> 87, at der opkræves ét</w:t>
      </w:r>
      <w:r w:rsidR="000E5FFB" w:rsidRPr="00577043">
        <w:rPr>
          <w:rFonts w:eastAsia="Times New Roman" w:cs="Times New Roman"/>
          <w:color w:val="000000"/>
          <w:lang w:eastAsia="da-DK"/>
        </w:rPr>
        <w:t xml:space="preserve"> samlet gebyr til  dækning af udgifter i forbindelse med behandling af en ansøgning i såvel </w:t>
      </w:r>
      <w:r w:rsidR="0058651B">
        <w:rPr>
          <w:rFonts w:eastAsia="Times New Roman" w:cs="Times New Roman"/>
          <w:color w:val="000000"/>
          <w:lang w:eastAsia="da-DK"/>
        </w:rPr>
        <w:t>Lægemiddelstyrelsen</w:t>
      </w:r>
      <w:r w:rsidR="000E5FFB" w:rsidRPr="00577043">
        <w:rPr>
          <w:rFonts w:eastAsia="Times New Roman" w:cs="Times New Roman"/>
          <w:color w:val="000000"/>
          <w:lang w:eastAsia="da-DK"/>
        </w:rPr>
        <w:t xml:space="preserve"> som komitésystemet</w:t>
      </w:r>
      <w:r w:rsidR="00532DAE">
        <w:rPr>
          <w:rFonts w:eastAsia="Times New Roman" w:cs="Times New Roman"/>
          <w:color w:val="000000"/>
          <w:lang w:eastAsia="da-DK"/>
        </w:rPr>
        <w:t>, jf. § 33, stk. 2</w:t>
      </w:r>
      <w:r w:rsidR="000E5FFB" w:rsidRPr="00577043">
        <w:rPr>
          <w:rFonts w:eastAsia="Times New Roman" w:cs="Times New Roman"/>
          <w:color w:val="000000"/>
          <w:lang w:eastAsia="da-DK"/>
        </w:rPr>
        <w:t>.</w:t>
      </w:r>
    </w:p>
    <w:p w14:paraId="76D0C2CB" w14:textId="77777777" w:rsidR="000E5FFB" w:rsidRPr="00577043" w:rsidRDefault="000E5FFB" w:rsidP="000E5FFB">
      <w:pPr>
        <w:rPr>
          <w:rFonts w:eastAsia="Times New Roman" w:cs="Times New Roman"/>
          <w:color w:val="000000"/>
          <w:lang w:eastAsia="da-DK"/>
        </w:rPr>
      </w:pPr>
    </w:p>
    <w:p w14:paraId="41CDD816" w14:textId="77777777" w:rsidR="000E5FFB" w:rsidRPr="00577043" w:rsidRDefault="000E5FFB" w:rsidP="000E5FFB">
      <w:pPr>
        <w:rPr>
          <w:rFonts w:eastAsia="Times New Roman" w:cs="Times New Roman"/>
          <w:color w:val="000000"/>
          <w:lang w:eastAsia="da-DK"/>
        </w:rPr>
      </w:pPr>
      <w:r w:rsidRPr="00577043">
        <w:rPr>
          <w:rFonts w:eastAsia="Times New Roman" w:cs="Times New Roman"/>
          <w:color w:val="000000"/>
          <w:lang w:eastAsia="da-DK"/>
        </w:rPr>
        <w:t xml:space="preserve">Gebyret </w:t>
      </w:r>
      <w:r w:rsidR="00B040EB">
        <w:rPr>
          <w:rFonts w:eastAsia="Times New Roman" w:cs="Times New Roman"/>
          <w:color w:val="000000"/>
          <w:lang w:eastAsia="da-DK"/>
        </w:rPr>
        <w:t xml:space="preserve">fastsættes således, at det er omkostningsbestemt og modsvarer de omkostninger, som </w:t>
      </w:r>
      <w:r w:rsidR="0058651B">
        <w:rPr>
          <w:rFonts w:eastAsia="Times New Roman" w:cs="Times New Roman"/>
          <w:color w:val="000000"/>
          <w:lang w:eastAsia="da-DK"/>
        </w:rPr>
        <w:t>Lægemiddelstyrelsen</w:t>
      </w:r>
      <w:r w:rsidR="00B040EB">
        <w:rPr>
          <w:rFonts w:eastAsia="Times New Roman" w:cs="Times New Roman"/>
          <w:color w:val="000000"/>
          <w:lang w:eastAsia="da-DK"/>
        </w:rPr>
        <w:t xml:space="preserve"> og den videnskabsetiske lægemiddelkomité har forbundet med godkendelse af kliniske forsøg og opfølgning herpå</w:t>
      </w:r>
      <w:r w:rsidRPr="00577043">
        <w:rPr>
          <w:rFonts w:eastAsia="Times New Roman" w:cs="Times New Roman"/>
          <w:color w:val="000000"/>
          <w:lang w:eastAsia="da-DK"/>
        </w:rPr>
        <w:t>.</w:t>
      </w:r>
      <w:r w:rsidR="00B040EB">
        <w:rPr>
          <w:rFonts w:eastAsia="Times New Roman" w:cs="Times New Roman"/>
          <w:color w:val="000000"/>
          <w:lang w:eastAsia="da-DK"/>
        </w:rPr>
        <w:t xml:space="preserve"> Gebyrerne skal udelukkende anvendes inden for lægemiddelområdet til opgaver, der er knyttet til de virksomheder og forskere m</w:t>
      </w:r>
      <w:r w:rsidR="00094421">
        <w:rPr>
          <w:rFonts w:eastAsia="Times New Roman" w:cs="Times New Roman"/>
          <w:color w:val="000000"/>
          <w:lang w:eastAsia="da-DK"/>
        </w:rPr>
        <w:t>.</w:t>
      </w:r>
      <w:r w:rsidR="00B040EB">
        <w:rPr>
          <w:rFonts w:eastAsia="Times New Roman" w:cs="Times New Roman"/>
          <w:color w:val="000000"/>
          <w:lang w:eastAsia="da-DK"/>
        </w:rPr>
        <w:t>v., som betaler gebyrerne. Der er således tale om en lukket ordning, hvor der tilstræbes balance mellem indtægter og omkostninger</w:t>
      </w:r>
      <w:r w:rsidR="00C424DA">
        <w:rPr>
          <w:rFonts w:eastAsia="Times New Roman" w:cs="Times New Roman"/>
          <w:color w:val="000000"/>
          <w:lang w:eastAsia="da-DK"/>
        </w:rPr>
        <w:t xml:space="preserve"> i løbet af en 4-5 årig periode</w:t>
      </w:r>
      <w:r w:rsidR="00B040EB">
        <w:rPr>
          <w:rFonts w:eastAsia="Times New Roman" w:cs="Times New Roman"/>
          <w:color w:val="000000"/>
          <w:lang w:eastAsia="da-DK"/>
        </w:rPr>
        <w:t xml:space="preserve">. </w:t>
      </w:r>
    </w:p>
    <w:p w14:paraId="10E7A507" w14:textId="77777777" w:rsidR="000E5FFB" w:rsidRPr="00577043" w:rsidRDefault="000E5FFB" w:rsidP="000E5FFB">
      <w:pPr>
        <w:rPr>
          <w:rFonts w:eastAsia="Times New Roman" w:cs="Times New Roman"/>
          <w:color w:val="000000"/>
          <w:lang w:eastAsia="da-DK"/>
        </w:rPr>
      </w:pPr>
    </w:p>
    <w:p w14:paraId="21B2B9A3" w14:textId="77777777" w:rsidR="000E5FFB" w:rsidRPr="00577043" w:rsidRDefault="000E5FFB" w:rsidP="000E5FFB">
      <w:pPr>
        <w:rPr>
          <w:rFonts w:eastAsia="Times New Roman" w:cs="Times New Roman"/>
          <w:color w:val="000000"/>
          <w:lang w:eastAsia="da-DK"/>
        </w:rPr>
      </w:pPr>
      <w:r w:rsidRPr="00577043">
        <w:rPr>
          <w:rFonts w:eastAsia="Times New Roman" w:cs="Times New Roman"/>
          <w:color w:val="000000"/>
          <w:lang w:eastAsia="da-DK"/>
        </w:rPr>
        <w:t>Gebyret skal med forslaget fortsat opkræves af brugerne af systemet, dvs. af private virksomheder, hospitaler og forskningsinstitutioner m</w:t>
      </w:r>
      <w:r w:rsidR="00094421">
        <w:rPr>
          <w:rFonts w:eastAsia="Times New Roman" w:cs="Times New Roman"/>
          <w:color w:val="000000"/>
          <w:lang w:eastAsia="da-DK"/>
        </w:rPr>
        <w:t>.</w:t>
      </w:r>
      <w:r w:rsidRPr="00577043">
        <w:rPr>
          <w:rFonts w:eastAsia="Times New Roman" w:cs="Times New Roman"/>
          <w:color w:val="000000"/>
          <w:lang w:eastAsia="da-DK"/>
        </w:rPr>
        <w:t xml:space="preserve">v. I dag er der for så vidt angår gebyret til de </w:t>
      </w:r>
      <w:r w:rsidR="00F0109B" w:rsidRPr="00577043">
        <w:rPr>
          <w:rFonts w:eastAsia="Times New Roman" w:cs="Times New Roman"/>
          <w:color w:val="000000"/>
          <w:lang w:eastAsia="da-DK"/>
        </w:rPr>
        <w:t xml:space="preserve">regionale </w:t>
      </w:r>
      <w:r w:rsidRPr="00577043">
        <w:rPr>
          <w:rFonts w:eastAsia="Times New Roman" w:cs="Times New Roman"/>
          <w:color w:val="000000"/>
          <w:lang w:eastAsia="da-DK"/>
        </w:rPr>
        <w:t>videnskabsetiske komiteer en mellemoffentlig aftale om, at hospitalerne ikke betaler gebyr, idet de offentlige hospitaler i forvej</w:t>
      </w:r>
      <w:r w:rsidR="00F0109B" w:rsidRPr="00577043">
        <w:rPr>
          <w:rFonts w:eastAsia="Times New Roman" w:cs="Times New Roman"/>
          <w:color w:val="000000"/>
          <w:lang w:eastAsia="da-DK"/>
        </w:rPr>
        <w:t>en er finansieret af regionerne</w:t>
      </w:r>
      <w:r w:rsidRPr="00577043">
        <w:rPr>
          <w:rFonts w:eastAsia="Times New Roman" w:cs="Times New Roman"/>
          <w:color w:val="000000"/>
          <w:lang w:eastAsia="da-DK"/>
        </w:rPr>
        <w:t xml:space="preserve">. Da staten fremover skal afholde udgifterne, </w:t>
      </w:r>
      <w:r w:rsidR="00F0109B" w:rsidRPr="00577043">
        <w:rPr>
          <w:rFonts w:eastAsia="Times New Roman" w:cs="Times New Roman"/>
          <w:color w:val="000000"/>
          <w:lang w:eastAsia="da-DK"/>
        </w:rPr>
        <w:t>foreslås det, at gebyret også opkræves fra d</w:t>
      </w:r>
      <w:r w:rsidRPr="00577043">
        <w:rPr>
          <w:rFonts w:eastAsia="Times New Roman" w:cs="Times New Roman"/>
          <w:color w:val="000000"/>
          <w:lang w:eastAsia="da-DK"/>
        </w:rPr>
        <w:t xml:space="preserve">e offentlige hospitaler. </w:t>
      </w:r>
    </w:p>
    <w:p w14:paraId="60886F9D" w14:textId="77777777" w:rsidR="000E5FFB" w:rsidRPr="00577043" w:rsidRDefault="000E5FFB" w:rsidP="000E5FFB">
      <w:pPr>
        <w:rPr>
          <w:rFonts w:eastAsia="Times New Roman" w:cs="Times New Roman"/>
          <w:color w:val="000000"/>
          <w:lang w:eastAsia="da-DK"/>
        </w:rPr>
      </w:pPr>
    </w:p>
    <w:p w14:paraId="6D2ECC39" w14:textId="77777777" w:rsidR="000E5FFB" w:rsidRPr="00577043" w:rsidRDefault="000E5FFB" w:rsidP="000E5FFB">
      <w:pPr>
        <w:rPr>
          <w:rFonts w:eastAsia="Times New Roman" w:cs="Times New Roman"/>
          <w:color w:val="000000"/>
          <w:lang w:eastAsia="da-DK"/>
        </w:rPr>
      </w:pPr>
      <w:r w:rsidRPr="00577043">
        <w:rPr>
          <w:rFonts w:eastAsia="Times New Roman" w:cs="Times New Roman"/>
          <w:color w:val="000000"/>
          <w:lang w:eastAsia="da-DK"/>
        </w:rPr>
        <w:t xml:space="preserve">Endelig foreslås det, at </w:t>
      </w:r>
      <w:r w:rsidR="00A22EAD" w:rsidRPr="00577043">
        <w:rPr>
          <w:rFonts w:eastAsia="Times New Roman" w:cs="Times New Roman"/>
          <w:color w:val="000000"/>
          <w:lang w:eastAsia="da-DK"/>
        </w:rPr>
        <w:t>sundheds- og ældreministeren</w:t>
      </w:r>
      <w:r w:rsidRPr="00577043">
        <w:rPr>
          <w:rFonts w:eastAsia="Times New Roman" w:cs="Times New Roman"/>
          <w:color w:val="000000"/>
          <w:lang w:eastAsia="da-DK"/>
        </w:rPr>
        <w:t xml:space="preserve"> fastsætter et vederlag til medlemmerne af de videnskabsetiske lægemiddelkomiteer og deres suppleanter og afholder udgifterne hertil, som det også gælder i forbindelse med medlemmer, der er udpeget af ministeren til den nationale komité.</w:t>
      </w:r>
    </w:p>
    <w:p w14:paraId="375DA004" w14:textId="77777777" w:rsidR="001769E9" w:rsidRPr="00577043" w:rsidRDefault="001769E9" w:rsidP="00D00047">
      <w:pPr>
        <w:rPr>
          <w:rFonts w:eastAsia="Times New Roman" w:cs="Times New Roman"/>
          <w:color w:val="000000"/>
          <w:lang w:eastAsia="da-DK"/>
        </w:rPr>
      </w:pPr>
    </w:p>
    <w:p w14:paraId="1DD0964B" w14:textId="77777777" w:rsidR="000C055A" w:rsidRPr="00577043" w:rsidRDefault="003A75A5" w:rsidP="003B701A">
      <w:pPr>
        <w:pStyle w:val="Overskrift5"/>
        <w:rPr>
          <w:rFonts w:eastAsia="Times New Roman"/>
          <w:i w:val="0"/>
          <w:lang w:eastAsia="da-DK"/>
        </w:rPr>
      </w:pPr>
      <w:r>
        <w:rPr>
          <w:rFonts w:eastAsia="Times New Roman"/>
          <w:lang w:eastAsia="da-DK"/>
        </w:rPr>
        <w:t>2.13.</w:t>
      </w:r>
      <w:r w:rsidR="000C055A" w:rsidRPr="00577043">
        <w:rPr>
          <w:rFonts w:eastAsia="Times New Roman"/>
          <w:lang w:eastAsia="da-DK"/>
        </w:rPr>
        <w:t xml:space="preserve"> </w:t>
      </w:r>
      <w:r w:rsidR="00E6468D" w:rsidRPr="00577043">
        <w:rPr>
          <w:rFonts w:eastAsia="Times New Roman"/>
          <w:lang w:eastAsia="da-DK"/>
        </w:rPr>
        <w:t>Information om mulighed for evt. krav på</w:t>
      </w:r>
      <w:r w:rsidR="002B1FD5" w:rsidRPr="00577043">
        <w:rPr>
          <w:rFonts w:eastAsia="Times New Roman"/>
          <w:lang w:eastAsia="da-DK"/>
        </w:rPr>
        <w:t xml:space="preserve"> g</w:t>
      </w:r>
      <w:r w:rsidR="00D04B09" w:rsidRPr="00577043">
        <w:rPr>
          <w:rFonts w:eastAsia="Times New Roman"/>
          <w:lang w:eastAsia="da-DK"/>
        </w:rPr>
        <w:t>odtgørelse</w:t>
      </w:r>
    </w:p>
    <w:p w14:paraId="662270BE" w14:textId="77777777" w:rsidR="002B1FD5" w:rsidRPr="00577043" w:rsidRDefault="002B1FD5" w:rsidP="003B701A">
      <w:pPr>
        <w:keepNext/>
        <w:keepLines/>
        <w:rPr>
          <w:rFonts w:eastAsia="Times New Roman" w:cs="Times New Roman"/>
          <w:color w:val="000000"/>
          <w:lang w:eastAsia="da-DK"/>
        </w:rPr>
      </w:pPr>
    </w:p>
    <w:p w14:paraId="524C1D63" w14:textId="77777777" w:rsidR="002B1FD5" w:rsidRPr="00577043" w:rsidRDefault="003A75A5" w:rsidP="003B701A">
      <w:pPr>
        <w:keepNext/>
        <w:keepLines/>
        <w:rPr>
          <w:rFonts w:eastAsia="Times New Roman" w:cs="Times New Roman"/>
          <w:color w:val="000000"/>
          <w:lang w:eastAsia="da-DK"/>
        </w:rPr>
      </w:pPr>
      <w:r>
        <w:rPr>
          <w:rFonts w:eastAsia="Times New Roman" w:cs="Times New Roman"/>
          <w:i/>
          <w:color w:val="000000"/>
          <w:lang w:eastAsia="da-DK"/>
        </w:rPr>
        <w:t>2.13.</w:t>
      </w:r>
      <w:r w:rsidR="00E83B4A">
        <w:rPr>
          <w:rFonts w:eastAsia="Times New Roman" w:cs="Times New Roman"/>
          <w:i/>
          <w:color w:val="000000"/>
          <w:lang w:eastAsia="da-DK"/>
        </w:rPr>
        <w:t>1.</w:t>
      </w:r>
      <w:r w:rsidR="002B1FD5" w:rsidRPr="00577043">
        <w:rPr>
          <w:rFonts w:eastAsia="Times New Roman" w:cs="Times New Roman"/>
          <w:i/>
          <w:color w:val="000000"/>
          <w:lang w:eastAsia="da-DK"/>
        </w:rPr>
        <w:t xml:space="preserve"> Gældende re</w:t>
      </w:r>
      <w:r w:rsidR="00E83B4A">
        <w:rPr>
          <w:rFonts w:eastAsia="Times New Roman" w:cs="Times New Roman"/>
          <w:i/>
          <w:color w:val="000000"/>
          <w:lang w:eastAsia="da-DK"/>
        </w:rPr>
        <w:t>t</w:t>
      </w:r>
    </w:p>
    <w:p w14:paraId="4D103C2D" w14:textId="77777777" w:rsidR="002B1FD5" w:rsidRPr="00577043" w:rsidRDefault="002B1FD5" w:rsidP="002B1FD5">
      <w:pPr>
        <w:rPr>
          <w:rFonts w:eastAsia="Times New Roman" w:cs="Times New Roman"/>
          <w:color w:val="000000"/>
          <w:lang w:eastAsia="da-DK"/>
        </w:rPr>
      </w:pPr>
      <w:r w:rsidRPr="00577043">
        <w:rPr>
          <w:rFonts w:eastAsia="Times New Roman" w:cs="Times New Roman"/>
          <w:color w:val="000000"/>
          <w:lang w:eastAsia="da-DK"/>
        </w:rPr>
        <w:t>I komitélovens § 42, stk. 1, er det fastsat, at sponsor, eller hvis denne ikke har værneting i Danmark, den forsøgsansvarlige, skal betale en godtgørelse til personer, som har deltaget i et projekt iværksat i strid med §§ 13, 14 eller 27, eller som ikke har afgivet informeret samtykke, eller hvor der ikke er indhentet stedfortrædende samtykke, jf. §§ 3-5 og § 12, medmindre den forsøgsansvarlige eller sponsor kan dokumentere, at forholdet ikke skyldes fejl fra den forsøgsansvarliges eller sponsors side.</w:t>
      </w:r>
    </w:p>
    <w:p w14:paraId="02E162B1" w14:textId="77777777" w:rsidR="002B1FD5" w:rsidRDefault="002B1FD5" w:rsidP="002B1FD5">
      <w:pPr>
        <w:rPr>
          <w:rFonts w:eastAsia="Times New Roman" w:cs="Times New Roman"/>
          <w:color w:val="000000"/>
          <w:lang w:eastAsia="da-DK"/>
        </w:rPr>
      </w:pPr>
    </w:p>
    <w:p w14:paraId="1B93D9B3" w14:textId="77777777" w:rsidR="007F33E6" w:rsidRDefault="007F33E6" w:rsidP="007F33E6">
      <w:pPr>
        <w:rPr>
          <w:rFonts w:eastAsia="Times New Roman" w:cs="Times New Roman"/>
          <w:color w:val="000000"/>
          <w:lang w:eastAsia="da-DK"/>
        </w:rPr>
      </w:pPr>
      <w:r w:rsidRPr="00577043">
        <w:rPr>
          <w:rFonts w:eastAsia="Times New Roman" w:cs="Times New Roman"/>
          <w:color w:val="000000"/>
          <w:lang w:eastAsia="da-DK"/>
        </w:rPr>
        <w:t xml:space="preserve">Godtgørelsen </w:t>
      </w:r>
      <w:r w:rsidR="00D1261D">
        <w:rPr>
          <w:rFonts w:eastAsia="Times New Roman" w:cs="Times New Roman"/>
          <w:color w:val="000000"/>
          <w:lang w:eastAsia="da-DK"/>
        </w:rPr>
        <w:t>er</w:t>
      </w:r>
      <w:r>
        <w:rPr>
          <w:rFonts w:eastAsia="Times New Roman" w:cs="Times New Roman"/>
          <w:color w:val="000000"/>
          <w:lang w:eastAsia="da-DK"/>
        </w:rPr>
        <w:t xml:space="preserve"> </w:t>
      </w:r>
      <w:r w:rsidRPr="00577043">
        <w:rPr>
          <w:rFonts w:eastAsia="Times New Roman" w:cs="Times New Roman"/>
          <w:color w:val="000000"/>
          <w:lang w:eastAsia="da-DK"/>
        </w:rPr>
        <w:t>kompensation for krænkelsen i de situationer, hvor forsøgspersonen ikke kan påvise et økonomisk tab og vedkommende som følge heraf ikke kan opnå erstatning efter erstatningsansvarsloven eller de alminelige erstatningsretlige principper. Eksempelvis udgør forsømmelse af at indhente fornødent samtykke fra forsøgspersonen ikke i sig selv en personskade i erstatningsretlig forstand. En sådan forsømmelse udgør dog en retsstridig krænkelse af den personlige frihed, som i sig selv vil være ansvarspådragende og dermed kunne udløse erstatning eller godtgørelse – givet de øvrige betingelser herfor er opfyldt.</w:t>
      </w:r>
    </w:p>
    <w:p w14:paraId="121360C1" w14:textId="77777777" w:rsidR="007F33E6" w:rsidRPr="00577043" w:rsidRDefault="007F33E6" w:rsidP="002B1FD5">
      <w:pPr>
        <w:rPr>
          <w:rFonts w:eastAsia="Times New Roman" w:cs="Times New Roman"/>
          <w:color w:val="000000"/>
          <w:lang w:eastAsia="da-DK"/>
        </w:rPr>
      </w:pPr>
    </w:p>
    <w:p w14:paraId="0C73837D" w14:textId="77777777" w:rsidR="002B1FD5" w:rsidRPr="00577043" w:rsidRDefault="002B1FD5" w:rsidP="002B1FD5">
      <w:pPr>
        <w:rPr>
          <w:rFonts w:eastAsia="Times New Roman" w:cs="Times New Roman"/>
          <w:color w:val="000000"/>
          <w:lang w:eastAsia="da-DK"/>
        </w:rPr>
      </w:pPr>
      <w:r w:rsidRPr="00577043">
        <w:rPr>
          <w:rFonts w:eastAsia="Times New Roman" w:cs="Times New Roman"/>
          <w:color w:val="000000"/>
          <w:lang w:eastAsia="da-DK"/>
        </w:rPr>
        <w:t>Sponsor eller den forsøgsansvarlige forudsættes at vejlede forsøgspersoner om muligheden for godtgørelse, hvor godtgørelse til forsøgspersonen kan være relevant. Ligeledes forudsættes komitésystemet at påpege dette overfor den forsøgsansvarlige i de tilfælde, hvor den kompetente komité bliver opmærksom på omstændigheder, som kan gøre det relevant. Eventuelle tvister kan indbringes for de almindelige domstole. Komitésystemet skal således ikke involveres i en sag om et evt. krav om godtgørelse til en forsøgsperson.</w:t>
      </w:r>
    </w:p>
    <w:p w14:paraId="46880ECD" w14:textId="77777777" w:rsidR="002B1FD5" w:rsidRDefault="002B1FD5" w:rsidP="00D04B09">
      <w:pPr>
        <w:rPr>
          <w:rFonts w:eastAsia="Times New Roman" w:cs="Times New Roman"/>
          <w:color w:val="000000"/>
          <w:lang w:eastAsia="da-DK"/>
        </w:rPr>
      </w:pPr>
    </w:p>
    <w:p w14:paraId="6CACB7BF" w14:textId="77777777" w:rsidR="002B1FD5" w:rsidRPr="00577043" w:rsidRDefault="003A75A5" w:rsidP="00D04B09">
      <w:pPr>
        <w:rPr>
          <w:rFonts w:eastAsia="Times New Roman" w:cs="Times New Roman"/>
          <w:i/>
          <w:color w:val="000000"/>
          <w:lang w:eastAsia="da-DK"/>
        </w:rPr>
      </w:pPr>
      <w:r>
        <w:rPr>
          <w:rFonts w:eastAsia="Times New Roman" w:cs="Times New Roman"/>
          <w:i/>
          <w:color w:val="000000"/>
          <w:lang w:eastAsia="da-DK"/>
        </w:rPr>
        <w:t>2.13.2.</w:t>
      </w:r>
      <w:r w:rsidR="002B1FD5" w:rsidRPr="00577043">
        <w:rPr>
          <w:rFonts w:eastAsia="Times New Roman" w:cs="Times New Roman"/>
          <w:i/>
          <w:color w:val="000000"/>
          <w:lang w:eastAsia="da-DK"/>
        </w:rPr>
        <w:t xml:space="preserve"> Forslag</w:t>
      </w:r>
    </w:p>
    <w:p w14:paraId="3911FC18" w14:textId="77777777" w:rsidR="00374022" w:rsidRPr="00577043" w:rsidRDefault="00D9366D" w:rsidP="00D04B09">
      <w:pPr>
        <w:rPr>
          <w:rFonts w:eastAsia="Times New Roman" w:cs="Times New Roman"/>
          <w:color w:val="000000"/>
          <w:lang w:eastAsia="da-DK"/>
        </w:rPr>
      </w:pPr>
      <w:r w:rsidRPr="00577043">
        <w:rPr>
          <w:rFonts w:eastAsia="Times New Roman" w:cs="Times New Roman"/>
          <w:color w:val="000000"/>
          <w:lang w:eastAsia="da-DK"/>
        </w:rPr>
        <w:t xml:space="preserve">Ifølge forordningens </w:t>
      </w:r>
      <w:r w:rsidR="00A10484" w:rsidRPr="00577043">
        <w:rPr>
          <w:rFonts w:eastAsia="Times New Roman" w:cs="Times New Roman"/>
          <w:bCs/>
          <w:color w:val="000000"/>
          <w:lang w:eastAsia="da-DK"/>
        </w:rPr>
        <w:t>art</w:t>
      </w:r>
      <w:r w:rsidR="00A10484">
        <w:rPr>
          <w:rFonts w:eastAsia="Times New Roman" w:cs="Times New Roman"/>
          <w:bCs/>
          <w:color w:val="000000"/>
          <w:lang w:eastAsia="da-DK"/>
        </w:rPr>
        <w:t>ikel</w:t>
      </w:r>
      <w:r w:rsidRPr="00577043">
        <w:rPr>
          <w:rFonts w:eastAsia="Times New Roman" w:cs="Times New Roman"/>
          <w:color w:val="000000"/>
          <w:lang w:eastAsia="da-DK"/>
        </w:rPr>
        <w:t xml:space="preserve"> 94 skal medlemsstaterne fastsætte bestemmelser om sanktioner for overtrædelse af forordningen og træffe alle nødvendige foranstaltninger til at sikre, at de gennemføres. </w:t>
      </w:r>
    </w:p>
    <w:p w14:paraId="0200F92B" w14:textId="77777777" w:rsidR="00A271B1" w:rsidRPr="00577043" w:rsidRDefault="00A271B1" w:rsidP="00D04B09">
      <w:pPr>
        <w:rPr>
          <w:rFonts w:eastAsia="Times New Roman" w:cs="Times New Roman"/>
          <w:color w:val="000000"/>
          <w:lang w:eastAsia="da-DK"/>
        </w:rPr>
      </w:pPr>
    </w:p>
    <w:p w14:paraId="7A638EEE" w14:textId="77777777" w:rsidR="00374022" w:rsidRPr="00577043" w:rsidRDefault="00D04B09" w:rsidP="00CB2276">
      <w:pPr>
        <w:rPr>
          <w:rFonts w:eastAsia="Times New Roman" w:cs="Times New Roman"/>
          <w:color w:val="000000"/>
          <w:lang w:eastAsia="da-DK"/>
        </w:rPr>
      </w:pPr>
      <w:r w:rsidRPr="00577043">
        <w:rPr>
          <w:rFonts w:eastAsia="Times New Roman" w:cs="Times New Roman"/>
          <w:color w:val="000000"/>
          <w:lang w:eastAsia="da-DK"/>
        </w:rPr>
        <w:t>Det foreslås med §</w:t>
      </w:r>
      <w:r w:rsidR="009C6D4D">
        <w:rPr>
          <w:rFonts w:eastAsia="Times New Roman" w:cs="Times New Roman"/>
          <w:color w:val="000000"/>
          <w:lang w:eastAsia="da-DK"/>
        </w:rPr>
        <w:t xml:space="preserve"> </w:t>
      </w:r>
      <w:r w:rsidR="00532DAE">
        <w:rPr>
          <w:rFonts w:eastAsia="Times New Roman" w:cs="Times New Roman"/>
          <w:color w:val="000000"/>
          <w:lang w:eastAsia="da-DK"/>
        </w:rPr>
        <w:t>35, stk. 5</w:t>
      </w:r>
      <w:r w:rsidR="002B1FD5" w:rsidRPr="00577043">
        <w:rPr>
          <w:rFonts w:eastAsia="Times New Roman" w:cs="Times New Roman"/>
          <w:color w:val="000000"/>
          <w:lang w:eastAsia="da-DK"/>
        </w:rPr>
        <w:t xml:space="preserve">, </w:t>
      </w:r>
      <w:r w:rsidR="00A271B1" w:rsidRPr="00577043">
        <w:rPr>
          <w:rFonts w:eastAsia="Times New Roman" w:cs="Times New Roman"/>
          <w:color w:val="000000"/>
          <w:lang w:eastAsia="da-DK"/>
        </w:rPr>
        <w:t xml:space="preserve">at </w:t>
      </w:r>
      <w:r w:rsidRPr="00577043">
        <w:rPr>
          <w:rFonts w:eastAsia="Times New Roman" w:cs="Times New Roman"/>
          <w:color w:val="000000"/>
          <w:lang w:eastAsia="da-DK"/>
        </w:rPr>
        <w:t>en videnskabsetisk komité, som vurderer, at et projekt er iværksat i strid med</w:t>
      </w:r>
      <w:r w:rsidR="006C1D06">
        <w:rPr>
          <w:rFonts w:eastAsia="Times New Roman" w:cs="Times New Roman"/>
          <w:color w:val="000000"/>
          <w:lang w:eastAsia="da-DK"/>
        </w:rPr>
        <w:t xml:space="preserve"> </w:t>
      </w:r>
      <w:r w:rsidR="00A10484" w:rsidRPr="00A10484">
        <w:rPr>
          <w:rFonts w:eastAsia="Times New Roman" w:cs="Times New Roman"/>
          <w:bCs/>
          <w:color w:val="000000"/>
          <w:lang w:eastAsia="da-DK"/>
        </w:rPr>
        <w:t xml:space="preserve"> </w:t>
      </w:r>
      <w:r w:rsidR="00A10484" w:rsidRPr="00577043">
        <w:rPr>
          <w:rFonts w:eastAsia="Times New Roman" w:cs="Times New Roman"/>
          <w:bCs/>
          <w:color w:val="000000"/>
          <w:lang w:eastAsia="da-DK"/>
        </w:rPr>
        <w:t>art</w:t>
      </w:r>
      <w:r w:rsidR="00A10484">
        <w:rPr>
          <w:rFonts w:eastAsia="Times New Roman" w:cs="Times New Roman"/>
          <w:bCs/>
          <w:color w:val="000000"/>
          <w:lang w:eastAsia="da-DK"/>
        </w:rPr>
        <w:t>ikel</w:t>
      </w:r>
      <w:r w:rsidR="006C1D06">
        <w:rPr>
          <w:rFonts w:eastAsia="Times New Roman" w:cs="Times New Roman"/>
          <w:color w:val="000000"/>
          <w:lang w:eastAsia="da-DK"/>
        </w:rPr>
        <w:t xml:space="preserve"> 4 eller </w:t>
      </w:r>
      <w:r w:rsidR="00A10484" w:rsidRPr="00577043">
        <w:rPr>
          <w:rFonts w:eastAsia="Times New Roman" w:cs="Times New Roman"/>
          <w:bCs/>
          <w:color w:val="000000"/>
          <w:lang w:eastAsia="da-DK"/>
        </w:rPr>
        <w:t>art</w:t>
      </w:r>
      <w:r w:rsidR="00A10484">
        <w:rPr>
          <w:rFonts w:eastAsia="Times New Roman" w:cs="Times New Roman"/>
          <w:bCs/>
          <w:color w:val="000000"/>
          <w:lang w:eastAsia="da-DK"/>
        </w:rPr>
        <w:t>ikel</w:t>
      </w:r>
      <w:r w:rsidR="006C1D06">
        <w:rPr>
          <w:rFonts w:eastAsia="Times New Roman" w:cs="Times New Roman"/>
          <w:color w:val="000000"/>
          <w:lang w:eastAsia="da-DK"/>
        </w:rPr>
        <w:t xml:space="preserve"> 28-35 i forordningen</w:t>
      </w:r>
      <w:r w:rsidR="00A271B1" w:rsidRPr="00577043">
        <w:rPr>
          <w:rFonts w:eastAsia="Times New Roman" w:cs="Times New Roman"/>
          <w:color w:val="000000"/>
          <w:lang w:eastAsia="da-DK"/>
        </w:rPr>
        <w:t>,</w:t>
      </w:r>
      <w:r w:rsidRPr="00577043">
        <w:rPr>
          <w:rFonts w:eastAsia="Times New Roman" w:cs="Times New Roman"/>
          <w:color w:val="000000"/>
          <w:lang w:eastAsia="da-DK"/>
        </w:rPr>
        <w:t xml:space="preserve"> og </w:t>
      </w:r>
      <w:r w:rsidR="008C68A0">
        <w:rPr>
          <w:rFonts w:eastAsia="Times New Roman" w:cs="Times New Roman"/>
          <w:color w:val="000000"/>
          <w:lang w:eastAsia="da-DK"/>
        </w:rPr>
        <w:t xml:space="preserve">som vurderer, </w:t>
      </w:r>
      <w:r w:rsidRPr="00577043">
        <w:rPr>
          <w:rFonts w:eastAsia="Times New Roman" w:cs="Times New Roman"/>
          <w:color w:val="000000"/>
          <w:lang w:eastAsia="da-DK"/>
        </w:rPr>
        <w:t>at dette evt. kan begrunde, at forsøgspersoner kan have et krav på godtgørelse</w:t>
      </w:r>
      <w:r w:rsidR="00A271B1" w:rsidRPr="00577043">
        <w:rPr>
          <w:rFonts w:eastAsia="Times New Roman" w:cs="Times New Roman"/>
          <w:color w:val="000000"/>
          <w:lang w:eastAsia="da-DK"/>
        </w:rPr>
        <w:t>,</w:t>
      </w:r>
      <w:r w:rsidRPr="00577043">
        <w:rPr>
          <w:rFonts w:eastAsia="Times New Roman" w:cs="Times New Roman"/>
          <w:color w:val="000000"/>
          <w:lang w:eastAsia="da-DK"/>
        </w:rPr>
        <w:t xml:space="preserve"> kan påbyde sponsor eller den forsøgsansvarlige at sende en meddelelse til </w:t>
      </w:r>
      <w:r w:rsidRPr="00577043">
        <w:rPr>
          <w:rFonts w:eastAsia="Times New Roman" w:cs="Times New Roman"/>
          <w:color w:val="000000"/>
          <w:lang w:eastAsia="da-DK"/>
        </w:rPr>
        <w:lastRenderedPageBreak/>
        <w:t xml:space="preserve">forsøgspersonerne herom. Komiteerne kan ikke statuere, at forsøgspersonerne har krav på godtgørelse, da dette er </w:t>
      </w:r>
      <w:r w:rsidR="00AD26D0" w:rsidRPr="00577043">
        <w:rPr>
          <w:rFonts w:eastAsia="Times New Roman" w:cs="Times New Roman"/>
          <w:color w:val="000000"/>
          <w:lang w:eastAsia="da-DK"/>
        </w:rPr>
        <w:t>et anliggende for domstolene.  Den foreslåede bestemmelse</w:t>
      </w:r>
      <w:r w:rsidRPr="00577043">
        <w:rPr>
          <w:rFonts w:eastAsia="Times New Roman" w:cs="Times New Roman"/>
          <w:color w:val="000000"/>
          <w:lang w:eastAsia="da-DK"/>
        </w:rPr>
        <w:t xml:space="preserve"> </w:t>
      </w:r>
      <w:r w:rsidR="00AD26D0" w:rsidRPr="00577043">
        <w:rPr>
          <w:rFonts w:eastAsia="Times New Roman" w:cs="Times New Roman"/>
          <w:color w:val="000000"/>
          <w:lang w:eastAsia="da-DK"/>
        </w:rPr>
        <w:t xml:space="preserve">vil </w:t>
      </w:r>
      <w:r w:rsidRPr="00577043">
        <w:rPr>
          <w:rFonts w:eastAsia="Times New Roman" w:cs="Times New Roman"/>
          <w:color w:val="000000"/>
          <w:lang w:eastAsia="da-DK"/>
        </w:rPr>
        <w:t xml:space="preserve">imidlertid </w:t>
      </w:r>
      <w:r w:rsidR="00AD26D0" w:rsidRPr="00577043">
        <w:rPr>
          <w:rFonts w:eastAsia="Times New Roman" w:cs="Times New Roman"/>
          <w:color w:val="000000"/>
          <w:lang w:eastAsia="da-DK"/>
        </w:rPr>
        <w:t xml:space="preserve">give </w:t>
      </w:r>
      <w:r w:rsidRPr="00577043">
        <w:rPr>
          <w:rFonts w:eastAsia="Times New Roman" w:cs="Times New Roman"/>
          <w:color w:val="000000"/>
          <w:lang w:eastAsia="da-DK"/>
        </w:rPr>
        <w:t xml:space="preserve">komiteerne mulighed for at påbyde sponsor eller den forsøgsansvarlige at udsende en meddelelse med et bestemt indhold til forsøgspersonerne, således at de bliver gjort opmærksomme på de forhold, der begrunder, at de kan have et sådan retskrav. </w:t>
      </w:r>
    </w:p>
    <w:p w14:paraId="586F3606" w14:textId="77777777" w:rsidR="00C71A4B" w:rsidRPr="00577043" w:rsidRDefault="00C71A4B" w:rsidP="00CB2276">
      <w:pPr>
        <w:rPr>
          <w:rFonts w:eastAsia="Times New Roman" w:cs="Times New Roman"/>
          <w:color w:val="000000"/>
          <w:lang w:eastAsia="da-DK"/>
        </w:rPr>
      </w:pPr>
    </w:p>
    <w:p w14:paraId="3D7874CC" w14:textId="77777777" w:rsidR="00C71A4B" w:rsidRPr="00577043" w:rsidRDefault="00C71A4B" w:rsidP="00CB2276">
      <w:pPr>
        <w:rPr>
          <w:rFonts w:eastAsia="Times New Roman" w:cs="Times New Roman"/>
          <w:color w:val="000000"/>
          <w:lang w:eastAsia="da-DK"/>
        </w:rPr>
      </w:pPr>
      <w:r w:rsidRPr="00577043">
        <w:rPr>
          <w:rFonts w:eastAsia="Times New Roman" w:cs="Times New Roman"/>
          <w:color w:val="000000"/>
          <w:lang w:eastAsia="da-DK"/>
        </w:rPr>
        <w:t>Bestemmelsen foreslås endvidere strafbelagt, jf. § 27.</w:t>
      </w:r>
    </w:p>
    <w:p w14:paraId="5125902C" w14:textId="77777777" w:rsidR="00374022" w:rsidRPr="00577043" w:rsidRDefault="00374022" w:rsidP="00CB2276">
      <w:pPr>
        <w:rPr>
          <w:rFonts w:eastAsia="Times New Roman" w:cs="Times New Roman"/>
          <w:color w:val="000000"/>
          <w:lang w:eastAsia="da-DK"/>
        </w:rPr>
      </w:pPr>
    </w:p>
    <w:p w14:paraId="2918CE90" w14:textId="77777777" w:rsidR="00C30D26" w:rsidRPr="00577043" w:rsidRDefault="003A75A5" w:rsidP="00B466C1">
      <w:pPr>
        <w:pStyle w:val="Overskrift5"/>
        <w:rPr>
          <w:rFonts w:eastAsia="Times New Roman"/>
          <w:lang w:eastAsia="da-DK"/>
        </w:rPr>
      </w:pPr>
      <w:r>
        <w:rPr>
          <w:rFonts w:eastAsia="Times New Roman"/>
          <w:lang w:eastAsia="da-DK"/>
        </w:rPr>
        <w:t>2.14.</w:t>
      </w:r>
      <w:r w:rsidR="00A271B1" w:rsidRPr="00577043">
        <w:rPr>
          <w:rFonts w:eastAsia="Times New Roman"/>
          <w:lang w:eastAsia="da-DK"/>
        </w:rPr>
        <w:t xml:space="preserve"> </w:t>
      </w:r>
      <w:r w:rsidR="0074232F" w:rsidRPr="00577043">
        <w:rPr>
          <w:rFonts w:eastAsia="Times New Roman"/>
          <w:lang w:eastAsia="da-DK"/>
        </w:rPr>
        <w:t>Emner</w:t>
      </w:r>
      <w:r w:rsidR="00A271B1" w:rsidRPr="00577043">
        <w:rPr>
          <w:rFonts w:eastAsia="Times New Roman"/>
          <w:lang w:eastAsia="da-DK"/>
        </w:rPr>
        <w:t xml:space="preserve"> som fremover reguleres i (EU) forordning nr. 536/2014 </w:t>
      </w:r>
    </w:p>
    <w:p w14:paraId="37B93757" w14:textId="77777777" w:rsidR="00C30D26" w:rsidRPr="00577043" w:rsidRDefault="00C30D26" w:rsidP="00CB2276">
      <w:pPr>
        <w:rPr>
          <w:rFonts w:eastAsia="Times New Roman" w:cs="Times New Roman"/>
          <w:color w:val="000000"/>
          <w:lang w:eastAsia="da-DK"/>
        </w:rPr>
      </w:pPr>
      <w:r w:rsidRPr="00577043">
        <w:rPr>
          <w:rFonts w:eastAsia="Times New Roman" w:cs="Times New Roman"/>
          <w:color w:val="000000"/>
          <w:lang w:eastAsia="da-DK"/>
        </w:rPr>
        <w:t>Endelig foreslås det med lovforslaget</w:t>
      </w:r>
      <w:r w:rsidR="0074232F" w:rsidRPr="00577043">
        <w:rPr>
          <w:rFonts w:eastAsia="Times New Roman" w:cs="Times New Roman"/>
          <w:color w:val="000000"/>
          <w:lang w:eastAsia="da-DK"/>
        </w:rPr>
        <w:t>,</w:t>
      </w:r>
      <w:r w:rsidRPr="00577043">
        <w:rPr>
          <w:rFonts w:eastAsia="Times New Roman" w:cs="Times New Roman"/>
          <w:color w:val="000000"/>
          <w:lang w:eastAsia="da-DK"/>
        </w:rPr>
        <w:t xml:space="preserve"> at </w:t>
      </w:r>
      <w:r w:rsidR="0074232F" w:rsidRPr="00577043">
        <w:rPr>
          <w:rFonts w:eastAsia="Times New Roman" w:cs="Times New Roman"/>
          <w:color w:val="000000"/>
          <w:lang w:eastAsia="da-DK"/>
        </w:rPr>
        <w:t>emner</w:t>
      </w:r>
      <w:r w:rsidRPr="00577043">
        <w:rPr>
          <w:rFonts w:eastAsia="Times New Roman" w:cs="Times New Roman"/>
          <w:color w:val="000000"/>
          <w:lang w:eastAsia="da-DK"/>
        </w:rPr>
        <w:t xml:space="preserve"> i komitéloven og lægemiddelloven, som vil blive regulere</w:t>
      </w:r>
      <w:r w:rsidR="00A271B1" w:rsidRPr="00577043">
        <w:rPr>
          <w:rFonts w:eastAsia="Times New Roman" w:cs="Times New Roman"/>
          <w:color w:val="000000"/>
          <w:lang w:eastAsia="da-DK"/>
        </w:rPr>
        <w:t>t</w:t>
      </w:r>
      <w:r w:rsidRPr="00577043">
        <w:rPr>
          <w:rFonts w:eastAsia="Times New Roman" w:cs="Times New Roman"/>
          <w:color w:val="000000"/>
          <w:lang w:eastAsia="da-DK"/>
        </w:rPr>
        <w:t xml:space="preserve"> af forordningens bestemmelser, </w:t>
      </w:r>
      <w:r w:rsidR="004D2164" w:rsidRPr="00577043">
        <w:rPr>
          <w:rFonts w:eastAsia="Times New Roman" w:cs="Times New Roman"/>
          <w:color w:val="000000"/>
          <w:lang w:eastAsia="da-DK"/>
        </w:rPr>
        <w:t xml:space="preserve">som konsekvens </w:t>
      </w:r>
      <w:r w:rsidRPr="00577043">
        <w:rPr>
          <w:rFonts w:eastAsia="Times New Roman" w:cs="Times New Roman"/>
          <w:color w:val="000000"/>
          <w:lang w:eastAsia="da-DK"/>
        </w:rPr>
        <w:t xml:space="preserve">udgår af de to love. </w:t>
      </w:r>
    </w:p>
    <w:p w14:paraId="578CD3F4" w14:textId="77777777" w:rsidR="00C30D26" w:rsidRPr="00577043" w:rsidRDefault="00C30D26" w:rsidP="00CB2276">
      <w:pPr>
        <w:rPr>
          <w:rFonts w:eastAsia="Times New Roman" w:cs="Times New Roman"/>
          <w:color w:val="000000"/>
          <w:lang w:eastAsia="da-DK"/>
        </w:rPr>
      </w:pPr>
    </w:p>
    <w:p w14:paraId="50AC1F31" w14:textId="77777777" w:rsidR="00364B20" w:rsidRPr="00577043" w:rsidRDefault="003A75A5" w:rsidP="00CB2276">
      <w:pPr>
        <w:keepNext/>
        <w:rPr>
          <w:rFonts w:eastAsia="Times New Roman" w:cs="Times New Roman"/>
          <w:b/>
          <w:bCs/>
          <w:color w:val="000000"/>
          <w:lang w:eastAsia="da-DK"/>
        </w:rPr>
      </w:pPr>
      <w:r>
        <w:rPr>
          <w:rFonts w:eastAsia="Times New Roman" w:cs="Times New Roman"/>
          <w:b/>
          <w:bCs/>
          <w:color w:val="000000"/>
          <w:lang w:eastAsia="da-DK"/>
        </w:rPr>
        <w:t>3</w:t>
      </w:r>
      <w:r w:rsidR="00364B20" w:rsidRPr="00577043">
        <w:rPr>
          <w:rFonts w:eastAsia="Times New Roman" w:cs="Times New Roman"/>
          <w:b/>
          <w:bCs/>
          <w:color w:val="000000"/>
          <w:lang w:eastAsia="da-DK"/>
        </w:rPr>
        <w:t>. Økonomiske og administrative konsekvenser for det offentlige</w:t>
      </w:r>
    </w:p>
    <w:p w14:paraId="763575B0" w14:textId="77777777" w:rsidR="00BF120D" w:rsidRPr="00577043" w:rsidRDefault="00BF120D" w:rsidP="006F3F06"/>
    <w:p w14:paraId="7BF0C770" w14:textId="77777777" w:rsidR="00BF120D" w:rsidRPr="00577043" w:rsidRDefault="003A75A5" w:rsidP="00BF120D">
      <w:pPr>
        <w:rPr>
          <w:i/>
        </w:rPr>
      </w:pPr>
      <w:r>
        <w:rPr>
          <w:i/>
        </w:rPr>
        <w:t>3</w:t>
      </w:r>
      <w:r w:rsidR="00BF120D" w:rsidRPr="00577043">
        <w:rPr>
          <w:i/>
        </w:rPr>
        <w:t>.1. Administrative konsekvenser</w:t>
      </w:r>
    </w:p>
    <w:p w14:paraId="5F20001B" w14:textId="77777777" w:rsidR="006F3F06" w:rsidRPr="00577043" w:rsidRDefault="006F3F06" w:rsidP="006F3F06">
      <w:r w:rsidRPr="00577043">
        <w:t xml:space="preserve">Den videnskabsetiske behandling af ansøgninger </w:t>
      </w:r>
      <w:r w:rsidR="00E53C17">
        <w:t>om</w:t>
      </w:r>
      <w:r w:rsidRPr="00577043">
        <w:t xml:space="preserve"> lægemiddelforsøg skal ifølge lovforslaget varetages af videnskabsetiske lægemiddelkomiteer, som organisatorisk placeres parallelt til </w:t>
      </w:r>
      <w:r w:rsidR="00406B7C">
        <w:t xml:space="preserve">DNVK. Disse komiteer </w:t>
      </w:r>
      <w:r w:rsidRPr="00577043">
        <w:t xml:space="preserve">skal sekretariatsbetjenes af DNVK’s sekretariat. </w:t>
      </w:r>
    </w:p>
    <w:p w14:paraId="69B105B7" w14:textId="77777777" w:rsidR="006F3F06" w:rsidRPr="00577043" w:rsidRDefault="006F3F06" w:rsidP="006F3F06"/>
    <w:p w14:paraId="47352BA0" w14:textId="77777777" w:rsidR="006F3F06" w:rsidRPr="00577043" w:rsidRDefault="006F3F06" w:rsidP="006F3F06">
      <w:r w:rsidRPr="00577043">
        <w:t>Forslaget ændrer ikke på organiseringen af det regionale videnskabsetiske komitésystem f</w:t>
      </w:r>
      <w:r w:rsidR="007E5911">
        <w:t>or så vidt angår</w:t>
      </w:r>
      <w:r w:rsidRPr="00577043">
        <w:t xml:space="preserve"> ansøgninger, der ikke vedrører lægemidler. De regionale komiteer får dog reduceret antallet af sager</w:t>
      </w:r>
      <w:r w:rsidR="00770F82">
        <w:t>, hvilket kan indebære en reduktion i antallet af videnskabsetiske komiteer i nogle regioner.</w:t>
      </w:r>
      <w:r w:rsidRPr="00577043">
        <w:t xml:space="preserve">  </w:t>
      </w:r>
    </w:p>
    <w:p w14:paraId="5DD77369" w14:textId="77777777" w:rsidR="006F3F06" w:rsidRPr="00577043" w:rsidRDefault="006F3F06" w:rsidP="006F3F06"/>
    <w:p w14:paraId="2D737EA1" w14:textId="77777777" w:rsidR="00524A49" w:rsidRDefault="0051450A" w:rsidP="006F3F06">
      <w:r>
        <w:t>Forordningen indebærer, at ansøgninger skal behandles inden for tidsfrister, som er væsentligt snævrere end gældende frister. Samtidig vil der i me</w:t>
      </w:r>
      <w:r w:rsidR="006F3F06" w:rsidRPr="00577043">
        <w:t xml:space="preserve">dfør af forordningen blive behov for et mere koordineret samarbejde mellem komitésystemet og </w:t>
      </w:r>
      <w:r w:rsidR="0058651B">
        <w:t>Lægemiddelstyrelsen</w:t>
      </w:r>
      <w:r w:rsidR="006F3F06" w:rsidRPr="00577043">
        <w:t xml:space="preserve">. </w:t>
      </w:r>
    </w:p>
    <w:p w14:paraId="42CDA727" w14:textId="77777777" w:rsidR="00524A49" w:rsidRDefault="00524A49" w:rsidP="006F3F06"/>
    <w:p w14:paraId="669253A4" w14:textId="77777777" w:rsidR="00524A49" w:rsidRDefault="00524A49" w:rsidP="006F3F06">
      <w:r>
        <w:t>Endvidere skal vurderinger af ansøgninger koordineres med de øvrige berørte medlems</w:t>
      </w:r>
      <w:r w:rsidR="007E5911">
        <w:t>s</w:t>
      </w:r>
      <w:r>
        <w:t>tater, herunder den rapporterende medlemsstat.</w:t>
      </w:r>
    </w:p>
    <w:p w14:paraId="169F9791" w14:textId="77777777" w:rsidR="00524A49" w:rsidRDefault="00524A49" w:rsidP="006F3F06"/>
    <w:p w14:paraId="0386591E" w14:textId="77777777" w:rsidR="00BF120D" w:rsidRDefault="00BF120D" w:rsidP="006F3F06">
      <w:r w:rsidRPr="00577043">
        <w:t>Forordningen indebærer desuden, at Danmark (</w:t>
      </w:r>
      <w:r w:rsidR="0058651B">
        <w:t>Lægemiddelstyrelsen</w:t>
      </w:r>
      <w:r w:rsidRPr="00577043">
        <w:t xml:space="preserve"> og komitésystemet) i nogle tilfælde skal fungere som rapporterende medlemsstat og dermed koordinere de berørte medlemsstaters behandling af ansøgninger. </w:t>
      </w:r>
    </w:p>
    <w:p w14:paraId="5415734B" w14:textId="77777777" w:rsidR="00524A49" w:rsidRDefault="00524A49" w:rsidP="006F3F06"/>
    <w:p w14:paraId="55F4E235" w14:textId="77777777" w:rsidR="00524A49" w:rsidRPr="00577043" w:rsidRDefault="00524A49" w:rsidP="006F3F06">
      <w:r>
        <w:t xml:space="preserve">Endelig medfører forordningen, at medlemsstaterne skal etablere nationale kontaktpunkter, som bl.a. skal indgå i den koordinerende og rådgivende gruppe for kliniske forsøg (Clinical Trials Coordination and Advisory Group- ”CTAG”). Det foreslås, at </w:t>
      </w:r>
      <w:r w:rsidR="0058651B">
        <w:t>Lægemiddelstyrelsen</w:t>
      </w:r>
      <w:r>
        <w:t xml:space="preserve"> skal varetage denne funktion, jf. § 5</w:t>
      </w:r>
      <w:r w:rsidR="00CA6F73">
        <w:t xml:space="preserve"> a</w:t>
      </w:r>
      <w:r>
        <w:t xml:space="preserve">, stk. 2, som beskrevet i afsnit 2.4.2. </w:t>
      </w:r>
    </w:p>
    <w:p w14:paraId="2E96DC8D" w14:textId="77777777" w:rsidR="00BF120D" w:rsidRPr="00577043" w:rsidRDefault="00BF120D" w:rsidP="006F3F06"/>
    <w:p w14:paraId="6C97EA22" w14:textId="77777777" w:rsidR="006F3F06" w:rsidRPr="00577043" w:rsidRDefault="00524A49" w:rsidP="006F3F06">
      <w:r>
        <w:t xml:space="preserve">Med § </w:t>
      </w:r>
      <w:r w:rsidR="00CF6193">
        <w:t>13</w:t>
      </w:r>
      <w:r>
        <w:t xml:space="preserve">, stk. </w:t>
      </w:r>
      <w:r w:rsidR="00CA6F73">
        <w:t>2,</w:t>
      </w:r>
      <w:r>
        <w:t xml:space="preserve"> foreslås det, at sundheds- og ældreministeren bemyndiges til at </w:t>
      </w:r>
      <w:r w:rsidR="006F3F06" w:rsidRPr="00577043">
        <w:t xml:space="preserve">fastsætte bestemmelser </w:t>
      </w:r>
      <w:r w:rsidR="00E53C17">
        <w:t>om</w:t>
      </w:r>
      <w:r w:rsidR="006F3F06" w:rsidRPr="00577043">
        <w:t xml:space="preserve"> de administrative procedurer for </w:t>
      </w:r>
      <w:r w:rsidR="0058651B">
        <w:t>Lægemiddelstyrelsen</w:t>
      </w:r>
      <w:r w:rsidR="006F3F06" w:rsidRPr="00577043">
        <w:t xml:space="preserve">s og det videnskabsetiske komitésystems behandling af ansøgninger </w:t>
      </w:r>
      <w:r w:rsidR="00E53C17">
        <w:t>om</w:t>
      </w:r>
      <w:r w:rsidR="006F3F06" w:rsidRPr="00577043">
        <w:t xml:space="preserve"> lægemiddelforsøg.</w:t>
      </w:r>
      <w:r>
        <w:t xml:space="preserve"> De nærmere bestemmelser, som vil blive fastsat i medfør af denne hjemmel, er beskrevet i afsnit 2.2.2.2-2.2.2.7.</w:t>
      </w:r>
      <w:r w:rsidR="006F3F06" w:rsidRPr="00577043">
        <w:t xml:space="preserve"> </w:t>
      </w:r>
    </w:p>
    <w:p w14:paraId="1AFDFD2F" w14:textId="77777777" w:rsidR="006F3F06" w:rsidRPr="00577043" w:rsidRDefault="006F3F06" w:rsidP="006F3F06"/>
    <w:p w14:paraId="1CE6BE08" w14:textId="77777777" w:rsidR="00BF120D" w:rsidRPr="00577043" w:rsidRDefault="003A75A5" w:rsidP="006F3F06">
      <w:pPr>
        <w:rPr>
          <w:i/>
        </w:rPr>
      </w:pPr>
      <w:r>
        <w:rPr>
          <w:i/>
        </w:rPr>
        <w:t>3</w:t>
      </w:r>
      <w:r w:rsidR="00BF120D" w:rsidRPr="00577043">
        <w:rPr>
          <w:i/>
        </w:rPr>
        <w:t>.2. Økonomiske konsekvenser</w:t>
      </w:r>
    </w:p>
    <w:p w14:paraId="5B14F718" w14:textId="77777777" w:rsidR="0003757F" w:rsidRPr="00577043" w:rsidRDefault="001F2BC7" w:rsidP="006F3F06">
      <w:pPr>
        <w:rPr>
          <w:rFonts w:eastAsia="Times New Roman" w:cs="Times New Roman"/>
          <w:color w:val="000000"/>
          <w:lang w:eastAsia="da-DK"/>
        </w:rPr>
      </w:pPr>
      <w:r w:rsidRPr="00577043">
        <w:rPr>
          <w:rFonts w:eastAsia="Times New Roman" w:cs="Times New Roman"/>
          <w:color w:val="000000"/>
          <w:lang w:eastAsia="da-DK"/>
        </w:rPr>
        <w:t xml:space="preserve">Det vurderes, at </w:t>
      </w:r>
      <w:r w:rsidR="0003757F" w:rsidRPr="00577043">
        <w:rPr>
          <w:rFonts w:eastAsia="Times New Roman" w:cs="Times New Roman"/>
          <w:color w:val="000000"/>
          <w:lang w:eastAsia="da-DK"/>
        </w:rPr>
        <w:t xml:space="preserve">forordningens </w:t>
      </w:r>
      <w:r w:rsidR="00770F82">
        <w:rPr>
          <w:rFonts w:eastAsia="Times New Roman" w:cs="Times New Roman"/>
          <w:color w:val="000000"/>
          <w:lang w:eastAsia="da-DK"/>
        </w:rPr>
        <w:t xml:space="preserve">krav om behandling af ansøgninger inden for snævre tidsfrister samt </w:t>
      </w:r>
      <w:r w:rsidR="0003757F" w:rsidRPr="00577043">
        <w:rPr>
          <w:rFonts w:eastAsia="Times New Roman" w:cs="Times New Roman"/>
          <w:color w:val="000000"/>
          <w:lang w:eastAsia="da-DK"/>
        </w:rPr>
        <w:t xml:space="preserve">øgede krav om koordinering dels mellem den sundhedsfaglige og videnskabsetiske behandling af ansøgninger, dels i nogle tilfælde international koordinering vil medføre øgede udgifter til </w:t>
      </w:r>
      <w:r w:rsidR="0058651B">
        <w:rPr>
          <w:rFonts w:eastAsia="Times New Roman" w:cs="Times New Roman"/>
          <w:color w:val="000000"/>
          <w:lang w:eastAsia="da-DK"/>
        </w:rPr>
        <w:t>Lægemiddelstyrelsen</w:t>
      </w:r>
      <w:r w:rsidR="0003757F" w:rsidRPr="00577043">
        <w:rPr>
          <w:rFonts w:eastAsia="Times New Roman" w:cs="Times New Roman"/>
          <w:color w:val="000000"/>
          <w:lang w:eastAsia="da-DK"/>
        </w:rPr>
        <w:t xml:space="preserve"> og komitésystemet.</w:t>
      </w:r>
    </w:p>
    <w:p w14:paraId="4E584AC7" w14:textId="77777777" w:rsidR="0003757F" w:rsidRPr="00577043" w:rsidRDefault="0003757F" w:rsidP="006F3F06">
      <w:pPr>
        <w:rPr>
          <w:rFonts w:eastAsia="Times New Roman" w:cs="Times New Roman"/>
          <w:color w:val="000000"/>
          <w:lang w:eastAsia="da-DK"/>
        </w:rPr>
      </w:pPr>
    </w:p>
    <w:p w14:paraId="2C39A62F" w14:textId="77777777" w:rsidR="002F7DE3" w:rsidRPr="00577043" w:rsidRDefault="001F2BC7" w:rsidP="006F3F06">
      <w:r w:rsidRPr="00577043">
        <w:rPr>
          <w:rFonts w:eastAsia="Times New Roman" w:cs="Times New Roman"/>
          <w:color w:val="000000"/>
          <w:lang w:eastAsia="da-DK"/>
        </w:rPr>
        <w:t xml:space="preserve">Lovforslaget </w:t>
      </w:r>
      <w:r w:rsidR="002F7DE3" w:rsidRPr="00577043">
        <w:rPr>
          <w:rFonts w:eastAsia="Times New Roman" w:cs="Times New Roman"/>
          <w:color w:val="000000"/>
          <w:lang w:eastAsia="da-DK"/>
        </w:rPr>
        <w:t>vil</w:t>
      </w:r>
      <w:r w:rsidR="0003757F" w:rsidRPr="00577043">
        <w:rPr>
          <w:rFonts w:eastAsia="Times New Roman" w:cs="Times New Roman"/>
          <w:color w:val="000000"/>
          <w:lang w:eastAsia="da-DK"/>
        </w:rPr>
        <w:t xml:space="preserve"> endvidere </w:t>
      </w:r>
      <w:r w:rsidR="002F7DE3" w:rsidRPr="00577043">
        <w:t>medføre udgifter til en udvidelse af komitésystemet med tre videnskabsetiske lægemiddelkomiteer</w:t>
      </w:r>
      <w:r w:rsidR="00167320" w:rsidRPr="00577043">
        <w:t>, som organisatorisk placeres parallelt til den nationale komité</w:t>
      </w:r>
      <w:r w:rsidR="002F7DE3" w:rsidRPr="00577043">
        <w:t xml:space="preserve">. </w:t>
      </w:r>
    </w:p>
    <w:p w14:paraId="3AA93683" w14:textId="77777777" w:rsidR="002F7DE3" w:rsidRPr="00577043" w:rsidRDefault="002F7DE3" w:rsidP="002F7DE3"/>
    <w:p w14:paraId="089D067A" w14:textId="77777777" w:rsidR="002F7DE3" w:rsidRPr="00577043" w:rsidRDefault="002F7DE3" w:rsidP="002F7DE3">
      <w:r w:rsidRPr="00577043">
        <w:lastRenderedPageBreak/>
        <w:t xml:space="preserve">Samtidig vil der være sparede udgifter til behandling af ansøgninger </w:t>
      </w:r>
      <w:r w:rsidR="00E53C17">
        <w:t>om</w:t>
      </w:r>
      <w:r w:rsidRPr="00577043">
        <w:t xml:space="preserve"> lægemiddelforsøg i de regionale komiteer. De regionale komiteer behandlede i 2014 ca. 300 ansøgninger, hvilket svarede til ca. 20 pct. af de samlede ansøgninger til de regionale komiteer. </w:t>
      </w:r>
    </w:p>
    <w:p w14:paraId="0B0E235B" w14:textId="77777777" w:rsidR="002F7DE3" w:rsidRPr="00577043" w:rsidRDefault="002F7DE3" w:rsidP="002F7DE3"/>
    <w:p w14:paraId="386F13E7" w14:textId="77777777" w:rsidR="006138A0" w:rsidRPr="00577043" w:rsidRDefault="006138A0" w:rsidP="002F7DE3">
      <w:r w:rsidRPr="00577043">
        <w:t xml:space="preserve">Det anslås, at netto ekstra </w:t>
      </w:r>
      <w:r w:rsidR="0041707C">
        <w:t xml:space="preserve">offentlige </w:t>
      </w:r>
      <w:r w:rsidRPr="00577043">
        <w:t xml:space="preserve">udgifter til komitésystemet vil udgøre </w:t>
      </w:r>
      <w:r w:rsidR="0041707C">
        <w:t>knap 2 mio.</w:t>
      </w:r>
      <w:r w:rsidR="00CF6193">
        <w:t xml:space="preserve"> kr. </w:t>
      </w:r>
      <w:r w:rsidR="00867A3D" w:rsidRPr="00577043">
        <w:t>årligt.</w:t>
      </w:r>
    </w:p>
    <w:p w14:paraId="185B6774" w14:textId="77777777" w:rsidR="006138A0" w:rsidRDefault="006138A0" w:rsidP="002F7DE3"/>
    <w:p w14:paraId="059C7B27" w14:textId="77777777" w:rsidR="007E29A2" w:rsidRDefault="007E29A2" w:rsidP="002F7DE3">
      <w:r w:rsidRPr="00577043">
        <w:t xml:space="preserve">Den videnskabsetiske behandling af sundhedsvidenskabelige forskningsprojekter </w:t>
      </w:r>
      <w:r w:rsidR="00100054">
        <w:t>og Lægemiddelstyrelsens behandling af ansøgninger</w:t>
      </w:r>
      <w:r w:rsidR="00100054" w:rsidRPr="00577043">
        <w:t xml:space="preserve"> om kliniske forsøg med lægemidler </w:t>
      </w:r>
      <w:r w:rsidR="00100054">
        <w:t xml:space="preserve">og opfølgning på godkendte forsøg </w:t>
      </w:r>
      <w:r w:rsidR="00100054" w:rsidRPr="00577043">
        <w:t xml:space="preserve">er </w:t>
      </w:r>
      <w:r w:rsidR="00100054">
        <w:t xml:space="preserve">i dag delvist </w:t>
      </w:r>
      <w:r w:rsidR="00100054" w:rsidRPr="00577043">
        <w:t>finansieret via gebyrer</w:t>
      </w:r>
      <w:r w:rsidR="00100054">
        <w:t>,</w:t>
      </w:r>
      <w:r w:rsidRPr="00577043">
        <w:t xml:space="preserve"> som betales af </w:t>
      </w:r>
      <w:r w:rsidR="00100054">
        <w:t>virksomheder og andre ansøgere.</w:t>
      </w:r>
    </w:p>
    <w:p w14:paraId="5F2D2882" w14:textId="77777777" w:rsidR="007E29A2" w:rsidRDefault="007E29A2" w:rsidP="002F7DE3"/>
    <w:p w14:paraId="6277FCE9" w14:textId="77777777" w:rsidR="00100054" w:rsidRDefault="00100054" w:rsidP="00100054">
      <w:r>
        <w:t xml:space="preserve">Med lovforslaget indføres hjemmel for sundheds- og ældreministeren til at fastsætte regler om opkrævning af et gebyr pr. ansøgning fra virksomheder m.v. til dækning af de videnskabsetiske lægemiddelkomiteers og Lægemiddelstyrelsens virksomhed efter den nye lov og regler udstedt i medfør af loven eller i henhold til forordningen. </w:t>
      </w:r>
    </w:p>
    <w:p w14:paraId="302E4FE3" w14:textId="77777777" w:rsidR="00100054" w:rsidRDefault="00100054" w:rsidP="007E29A2"/>
    <w:p w14:paraId="7BBB77C0" w14:textId="77777777" w:rsidR="00100054" w:rsidRPr="00577043" w:rsidRDefault="00100054" w:rsidP="00100054">
      <w:r>
        <w:t xml:space="preserve">Ved bekendtgørelse vil blive fastsat et samlet gebyr for den videnskabsetiske og den lægemiddelfaglige sagsbehandling af ansøgninger om og opfølgning på godkendte kliniske forsøg </w:t>
      </w:r>
      <w:r w:rsidRPr="00577043">
        <w:t xml:space="preserve">med henblik på dækning af </w:t>
      </w:r>
      <w:r>
        <w:t>de omkostninger, der vil være forbundet med at l</w:t>
      </w:r>
      <w:r w:rsidRPr="00577043">
        <w:t>eve op til forordningen.</w:t>
      </w:r>
    </w:p>
    <w:p w14:paraId="61EDFB1B" w14:textId="77777777" w:rsidR="00100054" w:rsidRDefault="00100054" w:rsidP="002F7DE3"/>
    <w:p w14:paraId="01C72C7B" w14:textId="77777777" w:rsidR="00100054" w:rsidRDefault="00100054" w:rsidP="00100054">
      <w:r>
        <w:t xml:space="preserve">For så vidt angår </w:t>
      </w:r>
      <w:r w:rsidRPr="00577043">
        <w:t xml:space="preserve">gebyrerne for </w:t>
      </w:r>
      <w:r>
        <w:t>Lægemiddelstyrelsen</w:t>
      </w:r>
      <w:r w:rsidRPr="00577043">
        <w:t xml:space="preserve">s </w:t>
      </w:r>
      <w:r w:rsidR="0041707C">
        <w:t>sagsbehandling</w:t>
      </w:r>
      <w:r w:rsidR="002B69C5">
        <w:t>,</w:t>
      </w:r>
      <w:r w:rsidR="0041707C">
        <w:t xml:space="preserve"> er de ikke beregnet i forbindelse med dette lovforslag. Beregning af gebyrstørrelser vil </w:t>
      </w:r>
      <w:r w:rsidRPr="00577043">
        <w:t xml:space="preserve">indgå som del af en samlet implementering af en ny gebyrstruktur for </w:t>
      </w:r>
      <w:r>
        <w:t>Lægemiddelstyrelsen</w:t>
      </w:r>
      <w:r w:rsidRPr="00577043">
        <w:t>s virksomhed på lægemiddelområdet fra 1. januar 2017.</w:t>
      </w:r>
    </w:p>
    <w:p w14:paraId="51020CDA" w14:textId="77777777" w:rsidR="00202508" w:rsidRDefault="00100054" w:rsidP="00202508">
      <w:r>
        <w:t xml:space="preserve"> </w:t>
      </w:r>
    </w:p>
    <w:p w14:paraId="56B3DA71" w14:textId="77777777" w:rsidR="00202508" w:rsidRDefault="00202508" w:rsidP="00202508">
      <w:r>
        <w:t>Udover ovennævnte udgifter forventes udgifter til IT, idet e</w:t>
      </w:r>
      <w:r w:rsidRPr="003430E4">
        <w:t xml:space="preserve">t effektivt samarbejde </w:t>
      </w:r>
      <w:r w:rsidR="009D5C19">
        <w:t xml:space="preserve">mellem </w:t>
      </w:r>
      <w:r w:rsidR="0058651B">
        <w:t>Lægemiddelstyrelsen</w:t>
      </w:r>
      <w:r w:rsidR="009D5C19">
        <w:t xml:space="preserve"> og de videnskabsetiske lægemiddelkomiteer</w:t>
      </w:r>
      <w:r w:rsidRPr="003430E4">
        <w:t xml:space="preserve"> vil forudsætte etableringen af en fælles IT-platform. Dette indgår imidlertid </w:t>
      </w:r>
      <w:r w:rsidR="002B69C5">
        <w:t xml:space="preserve">heller ikke </w:t>
      </w:r>
      <w:r w:rsidRPr="003430E4">
        <w:t>i lovforslag</w:t>
      </w:r>
      <w:r w:rsidR="002B69C5">
        <w:t>et</w:t>
      </w:r>
      <w:r w:rsidRPr="003430E4">
        <w:t xml:space="preserve">, </w:t>
      </w:r>
      <w:r>
        <w:t xml:space="preserve">da det ikke er muligt at planlægge en dansk IT-platform, før EU-portalen og databasen er nærmere specificeret. </w:t>
      </w:r>
    </w:p>
    <w:p w14:paraId="4CD00A53" w14:textId="77777777" w:rsidR="003C0700" w:rsidRPr="0053198E" w:rsidRDefault="003C0700" w:rsidP="00CB2276">
      <w:pPr>
        <w:keepNext/>
        <w:rPr>
          <w:rFonts w:eastAsia="Times New Roman" w:cs="Times New Roman"/>
          <w:bCs/>
          <w:color w:val="000000"/>
          <w:lang w:eastAsia="da-DK"/>
        </w:rPr>
      </w:pPr>
    </w:p>
    <w:p w14:paraId="6428F3DB" w14:textId="77777777" w:rsidR="00364B20" w:rsidRPr="00577043" w:rsidRDefault="003A75A5" w:rsidP="00CB2276">
      <w:pPr>
        <w:keepNext/>
        <w:rPr>
          <w:rFonts w:eastAsia="Times New Roman" w:cs="Times New Roman"/>
          <w:b/>
          <w:bCs/>
          <w:color w:val="000000"/>
          <w:lang w:eastAsia="da-DK"/>
        </w:rPr>
      </w:pPr>
      <w:r>
        <w:rPr>
          <w:rFonts w:eastAsia="Times New Roman" w:cs="Times New Roman"/>
          <w:b/>
          <w:bCs/>
          <w:color w:val="000000"/>
          <w:lang w:eastAsia="da-DK"/>
        </w:rPr>
        <w:t>4</w:t>
      </w:r>
      <w:r w:rsidR="00364B20" w:rsidRPr="00577043">
        <w:rPr>
          <w:rFonts w:eastAsia="Times New Roman" w:cs="Times New Roman"/>
          <w:b/>
          <w:bCs/>
          <w:color w:val="000000"/>
          <w:lang w:eastAsia="da-DK"/>
        </w:rPr>
        <w:t>. Økonomiske og administrative konsekvenser for erhvervslivet m</w:t>
      </w:r>
      <w:r w:rsidR="00094421">
        <w:rPr>
          <w:rFonts w:eastAsia="Times New Roman" w:cs="Times New Roman"/>
          <w:b/>
          <w:bCs/>
          <w:color w:val="000000"/>
          <w:lang w:eastAsia="da-DK"/>
        </w:rPr>
        <w:t>.</w:t>
      </w:r>
      <w:r w:rsidR="00364B20" w:rsidRPr="00577043">
        <w:rPr>
          <w:rFonts w:eastAsia="Times New Roman" w:cs="Times New Roman"/>
          <w:b/>
          <w:bCs/>
          <w:color w:val="000000"/>
          <w:lang w:eastAsia="da-DK"/>
        </w:rPr>
        <w:t>v.</w:t>
      </w:r>
    </w:p>
    <w:p w14:paraId="1220135F" w14:textId="77777777" w:rsidR="00A72BB4" w:rsidRPr="00577043" w:rsidRDefault="00BC2771" w:rsidP="00A72BB4">
      <w:r>
        <w:t xml:space="preserve">Det vurderes, at </w:t>
      </w:r>
      <w:r w:rsidR="00A72BB4" w:rsidRPr="00577043">
        <w:t>forslag</w:t>
      </w:r>
      <w:r>
        <w:t>et</w:t>
      </w:r>
      <w:r w:rsidR="00A72BB4" w:rsidRPr="00577043">
        <w:t xml:space="preserve"> om ophævelse af bestemmelser om kliniske forsøg, der i stedet erstattes af reglerne i forordningen, vil indebære administrative lettelser for erhvervslivet, idet lægemiddelvirksomheder kun skal fremsende én ansøgning til ét enkelt land, som koordinerer vurderingen af ansøgningen med de øvrige lande, hvor forsøget ønskes gennemført.</w:t>
      </w:r>
    </w:p>
    <w:p w14:paraId="7393CBD2" w14:textId="77777777" w:rsidR="00A72BB4" w:rsidRPr="00577043" w:rsidRDefault="00A72BB4" w:rsidP="00A72BB4">
      <w:pPr>
        <w:jc w:val="both"/>
        <w:rPr>
          <w:rFonts w:eastAsia="Times New Roman" w:cs="Times New Roman"/>
          <w:color w:val="000000"/>
          <w:lang w:eastAsia="da-DK"/>
        </w:rPr>
      </w:pPr>
    </w:p>
    <w:p w14:paraId="07FF2CDB" w14:textId="77777777" w:rsidR="00A72BB4" w:rsidRPr="00577043" w:rsidRDefault="00A72BB4" w:rsidP="00A72BB4">
      <w:pPr>
        <w:jc w:val="both"/>
        <w:rPr>
          <w:rFonts w:eastAsia="Times New Roman" w:cs="Times New Roman"/>
          <w:color w:val="000000"/>
          <w:lang w:eastAsia="da-DK"/>
        </w:rPr>
      </w:pPr>
      <w:r w:rsidRPr="00577043">
        <w:rPr>
          <w:rFonts w:eastAsia="Times New Roman" w:cs="Times New Roman"/>
          <w:color w:val="000000"/>
          <w:lang w:eastAsia="da-DK"/>
        </w:rPr>
        <w:t>Som følge af lovforslaget vil gebyrerne ved ansøgninger om</w:t>
      </w:r>
      <w:r w:rsidR="00F736D6">
        <w:rPr>
          <w:rFonts w:eastAsia="Times New Roman" w:cs="Times New Roman"/>
          <w:color w:val="000000"/>
          <w:lang w:eastAsia="da-DK"/>
        </w:rPr>
        <w:t xml:space="preserve"> godkendelse af </w:t>
      </w:r>
      <w:r w:rsidRPr="00577043">
        <w:rPr>
          <w:rFonts w:eastAsia="Times New Roman" w:cs="Times New Roman"/>
          <w:color w:val="000000"/>
          <w:lang w:eastAsia="da-DK"/>
        </w:rPr>
        <w:t>lægemiddelforsøg blive forøget for de virksomheder, som indsender ansøgningen via de danske myndigheder.</w:t>
      </w:r>
      <w:r w:rsidR="00DA5034" w:rsidRPr="00577043">
        <w:rPr>
          <w:rFonts w:eastAsia="Times New Roman" w:cs="Times New Roman"/>
          <w:color w:val="000000"/>
          <w:lang w:eastAsia="da-DK"/>
        </w:rPr>
        <w:t xml:space="preserve"> </w:t>
      </w:r>
    </w:p>
    <w:p w14:paraId="636880E2" w14:textId="77777777" w:rsidR="00DA5034" w:rsidRPr="00577043" w:rsidRDefault="00DA5034" w:rsidP="00A72BB4">
      <w:pPr>
        <w:jc w:val="both"/>
        <w:rPr>
          <w:rFonts w:eastAsia="Times New Roman" w:cs="Times New Roman"/>
          <w:color w:val="000000"/>
          <w:lang w:eastAsia="da-DK"/>
        </w:rPr>
      </w:pPr>
    </w:p>
    <w:p w14:paraId="3B254833" w14:textId="77777777" w:rsidR="007A1F05" w:rsidRPr="00577043" w:rsidRDefault="007A1F05" w:rsidP="007A1F05">
      <w:pPr>
        <w:keepNext/>
        <w:rPr>
          <w:rFonts w:eastAsia="Times New Roman" w:cs="Times New Roman"/>
          <w:b/>
          <w:bCs/>
          <w:color w:val="000000"/>
          <w:lang w:eastAsia="da-DK"/>
        </w:rPr>
      </w:pPr>
      <w:r w:rsidRPr="00577043">
        <w:t xml:space="preserve">Virksomheder pålægges ikke administrative forpligtelser ud over de i EU-reguleringen beskrevne. </w:t>
      </w:r>
    </w:p>
    <w:p w14:paraId="204FAE29" w14:textId="77777777" w:rsidR="007A1F05" w:rsidRPr="00577043" w:rsidRDefault="007A1F05" w:rsidP="00A72BB4">
      <w:pPr>
        <w:jc w:val="both"/>
        <w:rPr>
          <w:rFonts w:eastAsia="Times New Roman" w:cs="Times New Roman"/>
          <w:color w:val="000000"/>
          <w:lang w:eastAsia="da-DK"/>
        </w:rPr>
      </w:pPr>
    </w:p>
    <w:p w14:paraId="2BD9285F" w14:textId="77777777" w:rsidR="00DA5034" w:rsidRPr="00577043" w:rsidRDefault="00DA5034" w:rsidP="00DA5034">
      <w:r w:rsidRPr="00577043">
        <w:t>Det vurderes, at der ikke vil være efterlevelsesomkostninger i øvrigt.</w:t>
      </w:r>
    </w:p>
    <w:p w14:paraId="44EE974F" w14:textId="77777777" w:rsidR="003C0700" w:rsidRPr="00577043" w:rsidRDefault="003C0700" w:rsidP="00CB2276">
      <w:pPr>
        <w:keepNext/>
        <w:rPr>
          <w:rFonts w:eastAsia="Times New Roman" w:cs="Times New Roman"/>
          <w:b/>
          <w:bCs/>
          <w:color w:val="000000"/>
          <w:lang w:eastAsia="da-DK"/>
        </w:rPr>
      </w:pPr>
    </w:p>
    <w:p w14:paraId="102F8087" w14:textId="77777777" w:rsidR="001E1588" w:rsidRPr="00577043" w:rsidRDefault="001E1588" w:rsidP="00CB2276">
      <w:pPr>
        <w:keepNext/>
        <w:rPr>
          <w:rFonts w:eastAsia="Times New Roman" w:cs="Times New Roman"/>
          <w:b/>
          <w:bCs/>
          <w:color w:val="000000"/>
          <w:lang w:eastAsia="da-DK"/>
        </w:rPr>
      </w:pPr>
    </w:p>
    <w:p w14:paraId="096271D2" w14:textId="77777777" w:rsidR="00364B20" w:rsidRPr="00577043" w:rsidRDefault="003A75A5" w:rsidP="00CB2276">
      <w:pPr>
        <w:keepNext/>
        <w:rPr>
          <w:rFonts w:eastAsia="Times New Roman" w:cs="Times New Roman"/>
          <w:b/>
          <w:bCs/>
          <w:color w:val="000000"/>
          <w:lang w:eastAsia="da-DK"/>
        </w:rPr>
      </w:pPr>
      <w:r>
        <w:rPr>
          <w:rFonts w:eastAsia="Times New Roman" w:cs="Times New Roman"/>
          <w:b/>
          <w:bCs/>
          <w:color w:val="000000"/>
          <w:lang w:eastAsia="da-DK"/>
        </w:rPr>
        <w:t>5</w:t>
      </w:r>
      <w:r w:rsidR="00364B20" w:rsidRPr="00577043">
        <w:rPr>
          <w:rFonts w:eastAsia="Times New Roman" w:cs="Times New Roman"/>
          <w:b/>
          <w:bCs/>
          <w:color w:val="000000"/>
          <w:lang w:eastAsia="da-DK"/>
        </w:rPr>
        <w:t>. Administrative konsekvenser for borgerne</w:t>
      </w:r>
    </w:p>
    <w:p w14:paraId="20B5304D" w14:textId="77777777" w:rsidR="00364B20" w:rsidRPr="00577043" w:rsidRDefault="00364B20" w:rsidP="00CB2276">
      <w:pPr>
        <w:ind w:firstLine="170"/>
        <w:jc w:val="both"/>
        <w:rPr>
          <w:rFonts w:eastAsia="Times New Roman" w:cs="Times New Roman"/>
          <w:color w:val="000000"/>
          <w:lang w:eastAsia="da-DK"/>
        </w:rPr>
      </w:pPr>
      <w:r w:rsidRPr="00577043">
        <w:rPr>
          <w:rFonts w:eastAsia="Times New Roman" w:cs="Times New Roman"/>
          <w:color w:val="000000"/>
          <w:lang w:eastAsia="da-DK"/>
        </w:rPr>
        <w:t>Lovforslaget har ingen administrative konsekvenser for borgerne.</w:t>
      </w:r>
    </w:p>
    <w:p w14:paraId="620AB77D" w14:textId="77777777" w:rsidR="001E1588" w:rsidRPr="00577043" w:rsidRDefault="001E1588" w:rsidP="00CB2276">
      <w:pPr>
        <w:keepNext/>
        <w:rPr>
          <w:rFonts w:eastAsia="Times New Roman" w:cs="Times New Roman"/>
          <w:b/>
          <w:bCs/>
          <w:color w:val="000000"/>
          <w:lang w:eastAsia="da-DK"/>
        </w:rPr>
      </w:pPr>
    </w:p>
    <w:p w14:paraId="502E151E" w14:textId="77777777" w:rsidR="001E1588" w:rsidRPr="00577043" w:rsidRDefault="001E1588" w:rsidP="00CB2276">
      <w:pPr>
        <w:keepNext/>
        <w:rPr>
          <w:rFonts w:eastAsia="Times New Roman" w:cs="Times New Roman"/>
          <w:b/>
          <w:bCs/>
          <w:color w:val="000000"/>
          <w:lang w:eastAsia="da-DK"/>
        </w:rPr>
      </w:pPr>
    </w:p>
    <w:p w14:paraId="12ED1085" w14:textId="77777777" w:rsidR="00364B20" w:rsidRPr="00577043" w:rsidRDefault="003A75A5" w:rsidP="00CB2276">
      <w:pPr>
        <w:keepNext/>
        <w:rPr>
          <w:rFonts w:eastAsia="Times New Roman" w:cs="Times New Roman"/>
          <w:b/>
          <w:bCs/>
          <w:color w:val="000000"/>
          <w:lang w:eastAsia="da-DK"/>
        </w:rPr>
      </w:pPr>
      <w:r>
        <w:rPr>
          <w:rFonts w:eastAsia="Times New Roman" w:cs="Times New Roman"/>
          <w:b/>
          <w:bCs/>
          <w:color w:val="000000"/>
          <w:lang w:eastAsia="da-DK"/>
        </w:rPr>
        <w:t>6</w:t>
      </w:r>
      <w:r w:rsidR="00364B20" w:rsidRPr="00577043">
        <w:rPr>
          <w:rFonts w:eastAsia="Times New Roman" w:cs="Times New Roman"/>
          <w:b/>
          <w:bCs/>
          <w:color w:val="000000"/>
          <w:lang w:eastAsia="da-DK"/>
        </w:rPr>
        <w:t>. Miljømæssige konsekvenser</w:t>
      </w:r>
    </w:p>
    <w:p w14:paraId="2B9F7205" w14:textId="77777777" w:rsidR="00364B20" w:rsidRPr="00577043" w:rsidRDefault="00364B20" w:rsidP="00CB2276">
      <w:pPr>
        <w:ind w:firstLine="170"/>
        <w:jc w:val="both"/>
        <w:rPr>
          <w:rFonts w:eastAsia="Times New Roman" w:cs="Times New Roman"/>
          <w:color w:val="000000"/>
          <w:lang w:eastAsia="da-DK"/>
        </w:rPr>
      </w:pPr>
      <w:r w:rsidRPr="00577043">
        <w:rPr>
          <w:rFonts w:eastAsia="Times New Roman" w:cs="Times New Roman"/>
          <w:color w:val="000000"/>
          <w:lang w:eastAsia="da-DK"/>
        </w:rPr>
        <w:t>Forslaget har ingen miljømæssige konsekvenser.</w:t>
      </w:r>
    </w:p>
    <w:p w14:paraId="1EE5EA08" w14:textId="77777777" w:rsidR="003C0700" w:rsidRPr="00577043" w:rsidRDefault="003C0700" w:rsidP="00CB2276">
      <w:pPr>
        <w:keepNext/>
        <w:rPr>
          <w:rFonts w:eastAsia="Times New Roman" w:cs="Times New Roman"/>
          <w:b/>
          <w:bCs/>
          <w:color w:val="000000"/>
          <w:lang w:eastAsia="da-DK"/>
        </w:rPr>
      </w:pPr>
    </w:p>
    <w:p w14:paraId="755001EE" w14:textId="77777777" w:rsidR="001E1588" w:rsidRPr="00577043" w:rsidRDefault="001E1588" w:rsidP="00CB2276">
      <w:pPr>
        <w:keepNext/>
        <w:rPr>
          <w:rFonts w:eastAsia="Times New Roman" w:cs="Times New Roman"/>
          <w:b/>
          <w:bCs/>
          <w:color w:val="000000"/>
          <w:lang w:eastAsia="da-DK"/>
        </w:rPr>
      </w:pPr>
    </w:p>
    <w:p w14:paraId="1966FD2D" w14:textId="77777777" w:rsidR="00364B20" w:rsidRPr="00577043" w:rsidRDefault="003A75A5" w:rsidP="00CB2276">
      <w:pPr>
        <w:keepNext/>
        <w:rPr>
          <w:rFonts w:eastAsia="Times New Roman" w:cs="Times New Roman"/>
          <w:b/>
          <w:bCs/>
          <w:color w:val="000000"/>
          <w:lang w:eastAsia="da-DK"/>
        </w:rPr>
      </w:pPr>
      <w:r>
        <w:rPr>
          <w:rFonts w:eastAsia="Times New Roman" w:cs="Times New Roman"/>
          <w:b/>
          <w:bCs/>
          <w:color w:val="000000"/>
          <w:lang w:eastAsia="da-DK"/>
        </w:rPr>
        <w:t>7</w:t>
      </w:r>
      <w:r w:rsidR="00364B20" w:rsidRPr="00577043">
        <w:rPr>
          <w:rFonts w:eastAsia="Times New Roman" w:cs="Times New Roman"/>
          <w:b/>
          <w:bCs/>
          <w:color w:val="000000"/>
          <w:lang w:eastAsia="da-DK"/>
        </w:rPr>
        <w:t>. Forholdet til EU-retten</w:t>
      </w:r>
    </w:p>
    <w:p w14:paraId="1F0B689D" w14:textId="77777777" w:rsidR="008E5CC2" w:rsidRDefault="00A97A47" w:rsidP="00ED2FC2">
      <w:pPr>
        <w:jc w:val="both"/>
        <w:rPr>
          <w:rFonts w:eastAsia="Times New Roman" w:cs="Times New Roman"/>
          <w:color w:val="000000"/>
          <w:lang w:eastAsia="da-DK"/>
        </w:rPr>
      </w:pPr>
      <w:r w:rsidRPr="00577043">
        <w:rPr>
          <w:rFonts w:eastAsia="Times New Roman" w:cs="Times New Roman"/>
          <w:color w:val="000000"/>
          <w:lang w:eastAsia="da-DK"/>
        </w:rPr>
        <w:t xml:space="preserve">Med lovforslaget </w:t>
      </w:r>
      <w:r w:rsidR="008E5CC2">
        <w:rPr>
          <w:rFonts w:eastAsia="Times New Roman" w:cs="Times New Roman"/>
          <w:color w:val="000000"/>
          <w:lang w:eastAsia="da-DK"/>
        </w:rPr>
        <w:t>foreslås bestemmelser, som skal sikre, at (EU) forordning nr. 536/2014 kan overholdes i Danmark.</w:t>
      </w:r>
    </w:p>
    <w:p w14:paraId="13B90A88" w14:textId="77777777" w:rsidR="008E5CC2" w:rsidRDefault="008E5CC2" w:rsidP="00ED2FC2">
      <w:pPr>
        <w:jc w:val="both"/>
        <w:rPr>
          <w:rFonts w:eastAsia="Times New Roman" w:cs="Times New Roman"/>
          <w:color w:val="000000"/>
          <w:lang w:eastAsia="da-DK"/>
        </w:rPr>
      </w:pPr>
    </w:p>
    <w:p w14:paraId="3CD5BF6D" w14:textId="77777777" w:rsidR="008E5CC2" w:rsidRDefault="008E5CC2" w:rsidP="00ED2FC2">
      <w:pPr>
        <w:jc w:val="both"/>
        <w:rPr>
          <w:rFonts w:eastAsia="Times New Roman" w:cs="Times New Roman"/>
          <w:color w:val="000000"/>
          <w:lang w:eastAsia="da-DK"/>
        </w:rPr>
      </w:pPr>
    </w:p>
    <w:p w14:paraId="6F1D7F07" w14:textId="77777777" w:rsidR="008E5CC2" w:rsidRDefault="008E5CC2" w:rsidP="00ED2FC2">
      <w:pPr>
        <w:jc w:val="both"/>
        <w:rPr>
          <w:rFonts w:eastAsia="Times New Roman" w:cs="Times New Roman"/>
          <w:color w:val="000000"/>
          <w:lang w:eastAsia="da-DK"/>
        </w:rPr>
      </w:pPr>
      <w:r>
        <w:rPr>
          <w:rFonts w:eastAsia="Times New Roman" w:cs="Times New Roman"/>
          <w:color w:val="000000"/>
          <w:lang w:eastAsia="da-DK"/>
        </w:rPr>
        <w:t xml:space="preserve">Der </w:t>
      </w:r>
      <w:r w:rsidR="00A97A47" w:rsidRPr="00577043">
        <w:rPr>
          <w:rFonts w:eastAsia="Times New Roman" w:cs="Times New Roman"/>
          <w:color w:val="000000"/>
          <w:lang w:eastAsia="da-DK"/>
        </w:rPr>
        <w:t>foreslås bl.a. en tilpasning af de administrative rammer for godkendelse af ansøgninger om kliniske forsøg med lægemidler og opfølgning på forsøg</w:t>
      </w:r>
      <w:r w:rsidR="007A1F05" w:rsidRPr="00577043">
        <w:rPr>
          <w:rFonts w:eastAsia="Times New Roman" w:cs="Times New Roman"/>
          <w:color w:val="000000"/>
          <w:lang w:eastAsia="da-DK"/>
        </w:rPr>
        <w:t xml:space="preserve"> m</w:t>
      </w:r>
      <w:r w:rsidR="00E53C17">
        <w:rPr>
          <w:rFonts w:eastAsia="Times New Roman" w:cs="Times New Roman"/>
          <w:color w:val="000000"/>
          <w:lang w:eastAsia="da-DK"/>
        </w:rPr>
        <w:t>ed henblik på</w:t>
      </w:r>
      <w:r w:rsidR="007A1F05" w:rsidRPr="00577043">
        <w:rPr>
          <w:rFonts w:eastAsia="Times New Roman" w:cs="Times New Roman"/>
          <w:color w:val="000000"/>
          <w:lang w:eastAsia="da-DK"/>
        </w:rPr>
        <w:t xml:space="preserve">, at Danmark kan overholde kravene i forordningen </w:t>
      </w:r>
      <w:r w:rsidR="00E53C17">
        <w:rPr>
          <w:rFonts w:eastAsia="Times New Roman" w:cs="Times New Roman"/>
          <w:color w:val="000000"/>
          <w:lang w:eastAsia="da-DK"/>
        </w:rPr>
        <w:t>om</w:t>
      </w:r>
      <w:r w:rsidR="007A1F05" w:rsidRPr="00577043">
        <w:rPr>
          <w:rFonts w:eastAsia="Times New Roman" w:cs="Times New Roman"/>
          <w:color w:val="000000"/>
          <w:lang w:eastAsia="da-DK"/>
        </w:rPr>
        <w:t xml:space="preserve"> tidsfrister, koordineret behandling af ansøgninger og opfølgning</w:t>
      </w:r>
      <w:r w:rsidR="00A97A47" w:rsidRPr="00577043">
        <w:rPr>
          <w:rFonts w:eastAsia="Times New Roman" w:cs="Times New Roman"/>
          <w:color w:val="000000"/>
          <w:lang w:eastAsia="da-DK"/>
        </w:rPr>
        <w:t xml:space="preserve">. </w:t>
      </w:r>
    </w:p>
    <w:p w14:paraId="599F25DA" w14:textId="77777777" w:rsidR="008E5CC2" w:rsidRDefault="008E5CC2" w:rsidP="008E5CC2">
      <w:pPr>
        <w:jc w:val="both"/>
        <w:rPr>
          <w:rFonts w:eastAsia="Times New Roman" w:cs="Times New Roman"/>
          <w:color w:val="000000"/>
          <w:lang w:eastAsia="da-DK"/>
        </w:rPr>
      </w:pPr>
    </w:p>
    <w:p w14:paraId="497C1534" w14:textId="77777777" w:rsidR="008E5CC2" w:rsidRDefault="008E5CC2" w:rsidP="008E5CC2">
      <w:pPr>
        <w:jc w:val="both"/>
        <w:rPr>
          <w:rFonts w:eastAsia="Times New Roman" w:cs="Times New Roman"/>
          <w:color w:val="000000"/>
          <w:lang w:eastAsia="da-DK"/>
        </w:rPr>
      </w:pPr>
      <w:r>
        <w:rPr>
          <w:rFonts w:eastAsia="Times New Roman" w:cs="Times New Roman"/>
          <w:color w:val="000000"/>
          <w:lang w:eastAsia="da-DK"/>
        </w:rPr>
        <w:t>Desuden indeholder lovforslaget forslag, som ifølge forordningen forudsættes nærmere fastsat i national ret</w:t>
      </w:r>
      <w:r w:rsidR="00DE7B93">
        <w:rPr>
          <w:rFonts w:eastAsia="Times New Roman" w:cs="Times New Roman"/>
          <w:color w:val="000000"/>
          <w:lang w:eastAsia="da-DK"/>
        </w:rPr>
        <w:t>.</w:t>
      </w:r>
      <w:r>
        <w:rPr>
          <w:rFonts w:eastAsia="Times New Roman" w:cs="Times New Roman"/>
          <w:color w:val="000000"/>
          <w:lang w:eastAsia="da-DK"/>
        </w:rPr>
        <w:t xml:space="preserve"> </w:t>
      </w:r>
      <w:r w:rsidR="00DE7B93">
        <w:rPr>
          <w:rFonts w:eastAsia="Times New Roman" w:cs="Times New Roman"/>
          <w:color w:val="000000"/>
          <w:lang w:eastAsia="da-DK"/>
        </w:rPr>
        <w:t xml:space="preserve">Det vedrører bl.a. forslag til bestemmelser </w:t>
      </w:r>
      <w:r w:rsidR="00574B02">
        <w:rPr>
          <w:rFonts w:eastAsia="Times New Roman" w:cs="Times New Roman"/>
          <w:color w:val="000000"/>
          <w:lang w:eastAsia="da-DK"/>
        </w:rPr>
        <w:t>om</w:t>
      </w:r>
      <w:r w:rsidR="00DE7B93">
        <w:rPr>
          <w:rFonts w:eastAsia="Times New Roman" w:cs="Times New Roman"/>
          <w:color w:val="000000"/>
          <w:lang w:eastAsia="da-DK"/>
        </w:rPr>
        <w:t xml:space="preserve"> den legale repræsentant, som kan give et stedfortrædende samtykke til deltagelse i et klinisk forsøg. Det vedrører desuden </w:t>
      </w:r>
      <w:r>
        <w:rPr>
          <w:rFonts w:eastAsia="Times New Roman" w:cs="Times New Roman"/>
          <w:color w:val="000000"/>
          <w:lang w:eastAsia="da-DK"/>
        </w:rPr>
        <w:t>appelmuligheder og sanktioner for manglende overholdelse af forordningen.</w:t>
      </w:r>
      <w:r w:rsidR="00DE7B93">
        <w:rPr>
          <w:rFonts w:eastAsia="Times New Roman" w:cs="Times New Roman"/>
          <w:color w:val="000000"/>
          <w:lang w:eastAsia="da-DK"/>
        </w:rPr>
        <w:t xml:space="preserve"> </w:t>
      </w:r>
    </w:p>
    <w:p w14:paraId="38465325" w14:textId="77777777" w:rsidR="00DE7B93" w:rsidRDefault="00DE7B93" w:rsidP="008E5CC2">
      <w:pPr>
        <w:jc w:val="both"/>
        <w:rPr>
          <w:rFonts w:eastAsia="Times New Roman" w:cs="Times New Roman"/>
          <w:color w:val="000000"/>
          <w:lang w:eastAsia="da-DK"/>
        </w:rPr>
      </w:pPr>
    </w:p>
    <w:p w14:paraId="7CF07174" w14:textId="77777777" w:rsidR="008E5CC2" w:rsidRPr="00577043" w:rsidRDefault="00DE7B93" w:rsidP="008E5CC2">
      <w:pPr>
        <w:jc w:val="both"/>
        <w:rPr>
          <w:rFonts w:eastAsia="Times New Roman" w:cs="Times New Roman"/>
          <w:color w:val="000000"/>
          <w:lang w:eastAsia="da-DK"/>
        </w:rPr>
      </w:pPr>
      <w:r>
        <w:rPr>
          <w:rFonts w:eastAsia="Times New Roman" w:cs="Times New Roman"/>
          <w:color w:val="000000"/>
          <w:lang w:eastAsia="da-DK"/>
        </w:rPr>
        <w:t xml:space="preserve">Endvidere </w:t>
      </w:r>
      <w:r w:rsidR="008E5CC2">
        <w:rPr>
          <w:rFonts w:eastAsia="Times New Roman" w:cs="Times New Roman"/>
          <w:color w:val="000000"/>
          <w:lang w:eastAsia="da-DK"/>
        </w:rPr>
        <w:t xml:space="preserve">indeholder lovforslaget bestemmelser </w:t>
      </w:r>
      <w:r w:rsidR="00574B02">
        <w:rPr>
          <w:rFonts w:eastAsia="Times New Roman" w:cs="Times New Roman"/>
          <w:color w:val="000000"/>
          <w:lang w:eastAsia="da-DK"/>
        </w:rPr>
        <w:t>om</w:t>
      </w:r>
      <w:r w:rsidR="008E5CC2">
        <w:rPr>
          <w:rFonts w:eastAsia="Times New Roman" w:cs="Times New Roman"/>
          <w:color w:val="000000"/>
          <w:lang w:eastAsia="da-DK"/>
        </w:rPr>
        <w:t xml:space="preserve"> kliniske forsøg med lægemidler, som i</w:t>
      </w:r>
      <w:r>
        <w:rPr>
          <w:rFonts w:eastAsia="Times New Roman" w:cs="Times New Roman"/>
          <w:color w:val="000000"/>
          <w:lang w:eastAsia="da-DK"/>
        </w:rPr>
        <w:t>kke er reguleret i forordningen</w:t>
      </w:r>
      <w:r w:rsidR="008E5CC2">
        <w:rPr>
          <w:rFonts w:eastAsia="Times New Roman" w:cs="Times New Roman"/>
          <w:color w:val="000000"/>
          <w:lang w:eastAsia="da-DK"/>
        </w:rPr>
        <w:t xml:space="preserve">, </w:t>
      </w:r>
      <w:r>
        <w:rPr>
          <w:rFonts w:eastAsia="Times New Roman" w:cs="Times New Roman"/>
          <w:color w:val="000000"/>
          <w:lang w:eastAsia="da-DK"/>
        </w:rPr>
        <w:t xml:space="preserve">herunder </w:t>
      </w:r>
      <w:r w:rsidR="008E5CC2">
        <w:rPr>
          <w:rFonts w:eastAsia="Times New Roman" w:cs="Times New Roman"/>
          <w:color w:val="000000"/>
          <w:lang w:eastAsia="da-DK"/>
        </w:rPr>
        <w:t xml:space="preserve">forslag </w:t>
      </w:r>
      <w:r w:rsidR="00574B02">
        <w:rPr>
          <w:rFonts w:eastAsia="Times New Roman" w:cs="Times New Roman"/>
          <w:color w:val="000000"/>
          <w:lang w:eastAsia="da-DK"/>
        </w:rPr>
        <w:t>til</w:t>
      </w:r>
      <w:r w:rsidR="008E5CC2">
        <w:rPr>
          <w:rFonts w:eastAsia="Times New Roman" w:cs="Times New Roman"/>
          <w:color w:val="000000"/>
          <w:lang w:eastAsia="da-DK"/>
        </w:rPr>
        <w:t xml:space="preserve"> </w:t>
      </w:r>
      <w:r w:rsidR="001834B3">
        <w:rPr>
          <w:rFonts w:eastAsia="Times New Roman" w:cs="Times New Roman"/>
          <w:color w:val="000000"/>
          <w:lang w:eastAsia="da-DK"/>
        </w:rPr>
        <w:t>underskriftens form i forbindelse med et informeret samtykke</w:t>
      </w:r>
      <w:r w:rsidR="008E5CC2">
        <w:rPr>
          <w:rFonts w:eastAsia="Times New Roman" w:cs="Times New Roman"/>
          <w:color w:val="000000"/>
          <w:lang w:eastAsia="da-DK"/>
        </w:rPr>
        <w:t xml:space="preserve"> </w:t>
      </w:r>
      <w:r w:rsidR="001834B3">
        <w:rPr>
          <w:rFonts w:eastAsia="Times New Roman" w:cs="Times New Roman"/>
          <w:color w:val="000000"/>
          <w:lang w:eastAsia="da-DK"/>
        </w:rPr>
        <w:t xml:space="preserve">til deltagelse i forsøg </w:t>
      </w:r>
      <w:r w:rsidR="008E5CC2">
        <w:rPr>
          <w:rFonts w:eastAsia="Times New Roman" w:cs="Times New Roman"/>
          <w:color w:val="000000"/>
          <w:lang w:eastAsia="da-DK"/>
        </w:rPr>
        <w:t xml:space="preserve">og forslag om en hjemmel til, at ministeren kan fastsætte nærmere bestemmelser </w:t>
      </w:r>
      <w:r w:rsidR="00574B02">
        <w:rPr>
          <w:rFonts w:eastAsia="Times New Roman" w:cs="Times New Roman"/>
          <w:color w:val="000000"/>
          <w:lang w:eastAsia="da-DK"/>
        </w:rPr>
        <w:t>om</w:t>
      </w:r>
      <w:r w:rsidR="008E5CC2">
        <w:rPr>
          <w:rFonts w:eastAsia="Times New Roman" w:cs="Times New Roman"/>
          <w:color w:val="000000"/>
          <w:lang w:eastAsia="da-DK"/>
        </w:rPr>
        <w:t xml:space="preserve"> deltagerinformation og krav til underskriftens form</w:t>
      </w:r>
      <w:r w:rsidR="001834B3">
        <w:rPr>
          <w:rFonts w:eastAsia="Times New Roman" w:cs="Times New Roman"/>
          <w:color w:val="000000"/>
          <w:lang w:eastAsia="da-DK"/>
        </w:rPr>
        <w:t xml:space="preserve"> i forbindelse med et samtykke</w:t>
      </w:r>
      <w:r w:rsidR="008E5CC2">
        <w:rPr>
          <w:rFonts w:eastAsia="Times New Roman" w:cs="Times New Roman"/>
          <w:color w:val="000000"/>
          <w:lang w:eastAsia="da-DK"/>
        </w:rPr>
        <w:t xml:space="preserve">. </w:t>
      </w:r>
    </w:p>
    <w:p w14:paraId="2F3D6621" w14:textId="77777777" w:rsidR="008E5CC2" w:rsidRDefault="008E5CC2" w:rsidP="00ED2FC2">
      <w:pPr>
        <w:jc w:val="both"/>
        <w:rPr>
          <w:rFonts w:eastAsia="Times New Roman" w:cs="Times New Roman"/>
          <w:color w:val="000000"/>
          <w:lang w:eastAsia="da-DK"/>
        </w:rPr>
      </w:pPr>
    </w:p>
    <w:p w14:paraId="6183C48C" w14:textId="77777777" w:rsidR="00364B20" w:rsidRDefault="00DE7B93" w:rsidP="00ED2FC2">
      <w:pPr>
        <w:jc w:val="both"/>
        <w:rPr>
          <w:rFonts w:eastAsia="Times New Roman" w:cs="Times New Roman"/>
          <w:color w:val="000000"/>
          <w:lang w:eastAsia="da-DK"/>
        </w:rPr>
      </w:pPr>
      <w:r>
        <w:rPr>
          <w:rFonts w:eastAsia="Times New Roman" w:cs="Times New Roman"/>
          <w:color w:val="000000"/>
          <w:lang w:eastAsia="da-DK"/>
        </w:rPr>
        <w:t>Desuden</w:t>
      </w:r>
      <w:r w:rsidR="00A97A47" w:rsidRPr="00577043">
        <w:rPr>
          <w:rFonts w:eastAsia="Times New Roman" w:cs="Times New Roman"/>
          <w:color w:val="000000"/>
          <w:lang w:eastAsia="da-DK"/>
        </w:rPr>
        <w:t xml:space="preserve"> foreslås nugældende bestemmelser i lov om lægemidler og komitéloven om kliniske forsøg med lægemidler ophævet, når alene forordningens bestemmeler skal finde anvendelse.</w:t>
      </w:r>
    </w:p>
    <w:p w14:paraId="1718106B" w14:textId="77777777" w:rsidR="00D51C0E" w:rsidRDefault="00D51C0E" w:rsidP="00ED2FC2">
      <w:pPr>
        <w:jc w:val="both"/>
        <w:rPr>
          <w:rFonts w:eastAsia="Times New Roman" w:cs="Times New Roman"/>
          <w:color w:val="000000"/>
          <w:lang w:eastAsia="da-DK"/>
        </w:rPr>
      </w:pPr>
    </w:p>
    <w:p w14:paraId="113A9F62" w14:textId="77777777" w:rsidR="00D51C0E" w:rsidRDefault="00753796" w:rsidP="00D51C0E">
      <w:pPr>
        <w:jc w:val="both"/>
        <w:rPr>
          <w:rFonts w:eastAsia="Times New Roman" w:cs="Times New Roman"/>
          <w:color w:val="000000"/>
          <w:lang w:eastAsia="da-DK"/>
        </w:rPr>
      </w:pPr>
      <w:r>
        <w:rPr>
          <w:rFonts w:eastAsia="Times New Roman" w:cs="Times New Roman"/>
          <w:color w:val="000000"/>
          <w:lang w:eastAsia="da-DK"/>
        </w:rPr>
        <w:t xml:space="preserve">Endelig indeholder lovforslaget bestemmelser </w:t>
      </w:r>
      <w:r w:rsidR="00574B02">
        <w:rPr>
          <w:rFonts w:eastAsia="Times New Roman" w:cs="Times New Roman"/>
          <w:color w:val="000000"/>
          <w:lang w:eastAsia="da-DK"/>
        </w:rPr>
        <w:t>om</w:t>
      </w:r>
      <w:r>
        <w:rPr>
          <w:rFonts w:eastAsia="Times New Roman" w:cs="Times New Roman"/>
          <w:color w:val="000000"/>
          <w:lang w:eastAsia="da-DK"/>
        </w:rPr>
        <w:t xml:space="preserve"> kliniske forsøg</w:t>
      </w:r>
      <w:r w:rsidR="00EE634C">
        <w:rPr>
          <w:rFonts w:eastAsia="Times New Roman" w:cs="Times New Roman"/>
          <w:color w:val="000000"/>
          <w:lang w:eastAsia="da-DK"/>
        </w:rPr>
        <w:t xml:space="preserve"> med lægemidler på dyr. Kliniske forsøg med lægemidler på dyr er ikke reguleret i EU-retten.</w:t>
      </w:r>
    </w:p>
    <w:p w14:paraId="11012329" w14:textId="77777777" w:rsidR="00D51C0E" w:rsidRPr="00577043" w:rsidRDefault="00D51C0E" w:rsidP="00ED2FC2">
      <w:pPr>
        <w:jc w:val="both"/>
        <w:rPr>
          <w:rFonts w:eastAsia="Times New Roman" w:cs="Times New Roman"/>
          <w:color w:val="000000"/>
          <w:lang w:eastAsia="da-DK"/>
        </w:rPr>
      </w:pPr>
    </w:p>
    <w:p w14:paraId="73AE83FA" w14:textId="77777777" w:rsidR="007A1F05" w:rsidRPr="00577043" w:rsidRDefault="007A1F05" w:rsidP="007A1F05"/>
    <w:p w14:paraId="090A14D8" w14:textId="77777777" w:rsidR="00364B20" w:rsidRPr="00577043" w:rsidRDefault="003A75A5" w:rsidP="00CB2276">
      <w:pPr>
        <w:keepNext/>
        <w:rPr>
          <w:rFonts w:eastAsia="Times New Roman" w:cs="Times New Roman"/>
          <w:b/>
          <w:bCs/>
          <w:color w:val="000000"/>
          <w:lang w:eastAsia="da-DK"/>
        </w:rPr>
      </w:pPr>
      <w:r>
        <w:rPr>
          <w:rFonts w:eastAsia="Times New Roman" w:cs="Times New Roman"/>
          <w:b/>
          <w:bCs/>
          <w:color w:val="000000"/>
          <w:lang w:eastAsia="da-DK"/>
        </w:rPr>
        <w:t>8</w:t>
      </w:r>
      <w:r w:rsidR="00364B20" w:rsidRPr="00577043">
        <w:rPr>
          <w:rFonts w:eastAsia="Times New Roman" w:cs="Times New Roman"/>
          <w:b/>
          <w:bCs/>
          <w:color w:val="000000"/>
          <w:lang w:eastAsia="da-DK"/>
        </w:rPr>
        <w:t>. Hørte myndigheder og organisationer</w:t>
      </w:r>
    </w:p>
    <w:p w14:paraId="62CE623B" w14:textId="77777777" w:rsidR="005162EC" w:rsidRDefault="00364B20" w:rsidP="005162EC">
      <w:pPr>
        <w:ind w:firstLine="170"/>
        <w:jc w:val="both"/>
        <w:rPr>
          <w:rFonts w:eastAsia="Times New Roman" w:cs="Times New Roman"/>
          <w:color w:val="000000"/>
          <w:lang w:eastAsia="da-DK"/>
        </w:rPr>
      </w:pPr>
      <w:r w:rsidRPr="00577043">
        <w:rPr>
          <w:rFonts w:eastAsia="Times New Roman" w:cs="Times New Roman"/>
          <w:color w:val="000000"/>
          <w:lang w:eastAsia="da-DK"/>
        </w:rPr>
        <w:t xml:space="preserve">Et udkast til lovforslag har i perioden fra </w:t>
      </w:r>
      <w:r w:rsidR="007E5911">
        <w:rPr>
          <w:rFonts w:eastAsia="Times New Roman" w:cs="Times New Roman"/>
          <w:color w:val="000000"/>
          <w:lang w:eastAsia="da-DK"/>
        </w:rPr>
        <w:t>22.</w:t>
      </w:r>
      <w:r w:rsidR="00EE1FCA">
        <w:rPr>
          <w:rFonts w:eastAsia="Times New Roman" w:cs="Times New Roman"/>
          <w:color w:val="000000"/>
          <w:lang w:eastAsia="da-DK"/>
        </w:rPr>
        <w:t xml:space="preserve"> december 2015 til den 1</w:t>
      </w:r>
      <w:r w:rsidR="007E5911">
        <w:rPr>
          <w:rFonts w:eastAsia="Times New Roman" w:cs="Times New Roman"/>
          <w:color w:val="000000"/>
          <w:lang w:eastAsia="da-DK"/>
        </w:rPr>
        <w:t>8</w:t>
      </w:r>
      <w:r w:rsidR="00EE1FCA">
        <w:rPr>
          <w:rFonts w:eastAsia="Times New Roman" w:cs="Times New Roman"/>
          <w:color w:val="000000"/>
          <w:lang w:eastAsia="da-DK"/>
        </w:rPr>
        <w:t>. januar 2016 været</w:t>
      </w:r>
      <w:r w:rsidRPr="00577043">
        <w:rPr>
          <w:rFonts w:eastAsia="Times New Roman" w:cs="Times New Roman"/>
          <w:color w:val="000000"/>
          <w:lang w:eastAsia="da-DK"/>
        </w:rPr>
        <w:t xml:space="preserve"> sendt i høring hos følgende myndigheder og organisationer m</w:t>
      </w:r>
      <w:r w:rsidR="00094421">
        <w:rPr>
          <w:rFonts w:eastAsia="Times New Roman" w:cs="Times New Roman"/>
          <w:color w:val="000000"/>
          <w:lang w:eastAsia="da-DK"/>
        </w:rPr>
        <w:t>.</w:t>
      </w:r>
      <w:r w:rsidRPr="00577043">
        <w:rPr>
          <w:rFonts w:eastAsia="Times New Roman" w:cs="Times New Roman"/>
          <w:color w:val="000000"/>
          <w:lang w:eastAsia="da-DK"/>
        </w:rPr>
        <w:t>v.:</w:t>
      </w:r>
    </w:p>
    <w:p w14:paraId="229B6161" w14:textId="77777777" w:rsidR="00BE2E2C" w:rsidRDefault="00BE2E2C" w:rsidP="005162EC">
      <w:pPr>
        <w:ind w:firstLine="170"/>
        <w:jc w:val="both"/>
        <w:rPr>
          <w:rFonts w:eastAsia="Times New Roman" w:cs="Times New Roman"/>
          <w:color w:val="000000"/>
          <w:lang w:eastAsia="da-DK"/>
        </w:rPr>
      </w:pPr>
    </w:p>
    <w:p w14:paraId="3DF387F3" w14:textId="77777777" w:rsidR="00BE2E2C" w:rsidRDefault="00BE2E2C" w:rsidP="00BE2E2C">
      <w:r>
        <w:t xml:space="preserve">3F, Advokatrådet, AKF - Anvendt Kommunal Forskning, Alzheimerforeningen, Amgros, Anker Fjord Hospice, Ankestyrelsen, Arresødal Hospice, Astma- og Allergiforbundet, Bedre Psykiatri – landsforeningen for pårørende, Beskæftigelsesministeriet, Brancheforeningen af Farmaceutiske Industrivirksomheder i Danmark, Brancheforeningen for Private Hospitaler og Klinikker, Børne- og Ungdoms Psykiatrisk Selskab, Børnerådet, Børnesagens Fællesråd, Børns Vilkår, Center for Bioetik og Nanoetik, Center for Etik og Ret, Center for Hjerneskade, Center for Små Handicapgrupper, Danmarks Apotekerforening, Danmarks Farmaceutiske Selskab, Danmarks Forskningspolitiske Råd, Danmarks Grundforskningsfond, Danmarks Optikerforening, Danmarks Tekniske Universitet, Dansk biotek, Dansk Center for Organdonation, Dansk Diagnostika- og Laboratorieforening, Dansk Epidemiologisk Selskab, Dansk Erhverv, Dansk Farmaceutisk Industri, Dansk Farmaceutisk Selskab, Dansk Godkendelse af Medicinsk Udstyr (DGM), Dansk Handicapforbund, Dansk Industri, Dansk IT, Dansk Kiropraktor Forening, Dansk Kvindesamfund, Dansk Medicin Industri, Dansk Medicinsk Audiologisk Selskab, Dansk Medicinsk Selskab, Dansk Ortopædisk Selskab, Dansk Psykiatrisk Selskab, Dansk Psykolog Forening, Dansk Pædiatrisk Selskab, Dansk Rehab Group, Dansk Selskab for Akutmedicin, Dansk Selskab for Almen Medicin, Dansk Selskab for Distriktspsykiatri, Dansk Selskab for Folkesundhed, Dansk Selskab for Good Clinical Practice, Dansk Selskab for Klinisk Farmakologi, Dansk Selskab for Patientsikkerhed. Dansk Selskab for Patientsikkerhed, Dansk Selskab for Retsmedicin, Dansk Selskab for Sygehusapotekere, Dansk Selskab for Sygehusapotekere, Dansk selskab for sygehusapoteksledelse (DSS), Dansk Socialrådgiverforening, Dansk Standard, Dansk Sygeplejeråd, Dansk Tandlægeforening, Dansk Tandplejerforening, Dansk Transplantations Selskab, Danske Bandagister, Danske Bioanalytikere, Danske Dental Laboratorier, Danske Fysioterapeuter, Danske Handicaporganisationer, Danske Patienter, Danske Regioner, Danske Ældreråd, Datatilsynet, De Offentlige Tandlæger, De samvirkende Invalideorganisationer, De Videnskabsetiske Komiteer for Region Hovedstaden, De Videnskabsetiske Komiteer for Region Midtjylland, DELTA, Den Centrale Videnskabsetiske Komité, Den Danske Dyrlægeforening, Den Nationale Videnskabsetiske Komité, Den uvildige konsulentordning på handicapområdet, Den Videnskabetiske Komité for Region Sjælland, Den Videnskabsetiske Komité for Færøerne, Den Videnskabsetiske Komité for Færøerne, Den Videnskabsetiske Komité for Region </w:t>
      </w:r>
      <w:r>
        <w:lastRenderedPageBreak/>
        <w:t>Nordjylland, Den Videnskabsetiske Komité for Region Syddanmark, Dental Branche Forening, Det Centrale Handicapråd, Det Etiske Råd, Det Farmaceutiske Fakultet, Det Frie Forskningsråd (under Forsknings- og Innovationsstyr.), Det Nordiske Cochrane Center, Det Strategiske Forskningsråd (under Forsknings- og Innovationsstyr.), Diabetesforeningen, Diakonissestiftelsens Hospice, DIGNITY – Dansk Institut Mod Tortur, Dommerfuldmægtigforeningen, DSI - Institut for Sundhedsvæsen, Epilepsihospitalet Filadelfia, Ergoterapeutforeningen, Erhvervs- og Vækstministeriet, Erhvervsstyrelsen, Farmakonomforeningen, Finansministeriet, FOA, Folketingets Ombudsmand, Forbrugerombudsmanden, Forbrugerrådet, Foreningen af Kliniske Diætister, Foreningen af Parallelimportører af Lægemidler, Foreningen af socialchefer i Danmark, Foreningen af Speciallæger, Foreningen FAR, Forsikring &amp; Pension, Forsknings- og Innovationsstyrelsen, Funktionærernes og Tjenestemændenes Fællesråd, Færøernes Landsstyre, Fødevareinstituttet, Fødevarestyrelsen, GCP-enheden ved Københavns Universitetshospital, GCP-enheden ved Odense Universitetshospital, GCP-enheden ved Aalborg og Aarhus Universitetshospitaler, Gigtforeningen, Grønlands Selvstyre, Hjernesagen, Hjerteforeningen, Hjælpemiddelinstituttet (Socialstyrelsen), Hospice Djursland, Hospice Forum Danmark, Hospice Fyn, Hospice Limfjord Skive, Hospice Sjælland, Hospice Sydvestjylland, Hospice Sønderjylland, Hospice Vendsyssel, Høreforeningen, Industriforeningen for generiske lægemidler, Institut for Menneskerettigheder, IT-Universitetet i København, Jordemoderforeningen, Justitsministeriet, KamillianerGaardens Hospice, Kennedy Centret, KL, Klima-, Energi- og Bygningsministeriet, Komiteen for Sundhedsoplysning, Kommunernes Landsforening, Konkurrence- og Forbrugerstyrelsen, Kost- og Ernæringsforbundet, Kræftens Bekæmpelse, Kulturministeriet, Kvinderådet, Københavns Universitet, Landbrug &amp; Fødevarer, Landsf. af nuværende og tidligere psykiatribrugere (LAP), Landsforeningen af Kliniske Tandteknikere, Landsforeningen af Statsaut. Fodterapeuter, Landsforeningen for Evnesvage (LEV), Landsforeningen SIND, Landsorganisationen Borgerstyret Personlig Assistance (respiration), Landsorganisationen i Danmark (LO), LMS- Landsforeningen mod spiseforstyrrelser og selvskade, Lundbeckfonden, Lægeforeningen, Lægemiddelindustriforeningen, Lægemiddelsstyrelsen, Medicoindustrien, Medicon Valley Alliance, Megros (Foreningen af medicingrossister), Miljø- og Fødevareministeriet, Ministeriet for Børn, Unge og Ligestilling, Ministeriet for Forskning, Innovation og Videregående Uddannelser, Mødrehjælpen, National Sundheds IT, Next partnerships, Nomeco A/S, Novo Nordisk Fonden, Offentliges Ansattes Organisationer (OAO), Organisationen af Lægevidenskabelige Selskaber, Parallelimportørforeningen af lægemidler, Patient Foreningernes Samvirke, Patientforeningen, Patientforeningen i Danmark, Patientforeningernes Samvirke, Patientforsikringen, Patientombuddet, Pharmadanmark, Pharmakon, Praktiserende Lægers Organisation, Praktiserende Tandlægers Organisation, Psykolognævnet, PTU's RehabiliteringsCenter, Radiograf Rådet, RCT Jylland, Region Hovedstaden, Region Midtjylland, Region Nordjylland, Region Sjælland, Region Syddanmark, Regionernes Lønnings- og Takstnævn, RehabiliteringsCenter for Muskelsvind, Respiratorhjælp Danmark ApS, Retspolitisk Forening, Rigsombudsmanden på Færøerne, Rigsombudsmanden på Grønland, Rigsrevisionen, Risø - Nationallaboratoriet for Bæredygtig Energi, RUC, Rådet for Digital Sikkerhed, Rådet for Socialt Udsatte, Sankt Lukas Hospice, Sano Middelfart, Sano Skælskør, Sano Aarhus, Scleroseforeningen, Sclerosehospitalet i Haslev, Sclerosehospitalet i Ry, Sct. Maria Hospice Center, Sex &amp; Samfund, Sjældne Diagnoser, Social- og Indenrigsministeriet, Socialpædagogernes Landsforbund, Socialstyrelsen, Statens Institut for Folkesundhed, Statens Serum Institut, Statens Sundhedsvidenskabelige Forskningsråd, Statsforvaltningene, Statsministeriet, Styrelsen for forskning og innovation, Styrelsen for Patientsikkerhed, Sundhedsministeriet på Færøerne, Sundhedsstyrelsen, Syddansk Universitet, Sygeforsikringen ”danmark”, Tandlægeforeningen, Tandlægernes Nye Landsforening, Teknisk Landsforbund, Teknologirådet, Teknologisk Institut, Telekommunikationsindustrien i Danmark, Udenrigsministeriet, Udlændinge-, Integrations- og Boligministeriet, Udvalgene vedrørende Videnskabelig Uredelighed, Udviklingshæmmedes Landsforbund, Vejlefjord, Veterinærmedicinsk Industriforening (VIF), Videnscenter for Handicap og Socialpsykiatri, Yngre Læger, ÆldreForum, Ældremobiliseringen, Ældresagen, Aalborg Universitet og Aarhus Universitet.</w:t>
      </w:r>
    </w:p>
    <w:p w14:paraId="42B35A95" w14:textId="77777777" w:rsidR="005162EC" w:rsidRDefault="005162EC" w:rsidP="005162EC">
      <w:pPr>
        <w:ind w:firstLine="170"/>
        <w:jc w:val="both"/>
        <w:rPr>
          <w:rFonts w:eastAsia="Times New Roman" w:cs="Times New Roman"/>
          <w:color w:val="000000"/>
          <w:lang w:eastAsia="da-DK"/>
        </w:rPr>
      </w:pPr>
    </w:p>
    <w:p w14:paraId="75A6CFC8" w14:textId="77777777" w:rsidR="007E5911" w:rsidRDefault="007E5911" w:rsidP="005162EC">
      <w:pPr>
        <w:ind w:firstLine="170"/>
        <w:jc w:val="both"/>
        <w:rPr>
          <w:rFonts w:eastAsia="Times New Roman" w:cs="Times New Roman"/>
          <w:color w:val="000000"/>
          <w:lang w:eastAsia="da-DK"/>
        </w:rPr>
      </w:pPr>
    </w:p>
    <w:p w14:paraId="1B7E1AB4" w14:textId="77777777" w:rsidR="007E5911" w:rsidRDefault="007E5911" w:rsidP="005162EC">
      <w:pPr>
        <w:ind w:firstLine="170"/>
        <w:jc w:val="both"/>
        <w:rPr>
          <w:rFonts w:eastAsia="Times New Roman" w:cs="Times New Roman"/>
          <w:color w:val="000000"/>
          <w:lang w:eastAsia="da-DK"/>
        </w:rPr>
      </w:pPr>
    </w:p>
    <w:p w14:paraId="4FD3265C" w14:textId="77777777" w:rsidR="007E5911" w:rsidRDefault="007E5911" w:rsidP="005162EC">
      <w:pPr>
        <w:ind w:firstLine="170"/>
        <w:jc w:val="both"/>
        <w:rPr>
          <w:rFonts w:eastAsia="Times New Roman" w:cs="Times New Roman"/>
          <w:color w:val="000000"/>
          <w:lang w:eastAsia="da-DK"/>
        </w:rPr>
      </w:pPr>
    </w:p>
    <w:p w14:paraId="72736F63" w14:textId="77777777" w:rsidR="00BE2E2C" w:rsidRDefault="00BE2E2C" w:rsidP="005162EC">
      <w:pPr>
        <w:ind w:firstLine="170"/>
        <w:jc w:val="both"/>
        <w:rPr>
          <w:rFonts w:eastAsia="Times New Roman" w:cs="Times New Roman"/>
          <w:color w:val="000000"/>
          <w:lang w:eastAsia="da-DK"/>
        </w:rPr>
      </w:pPr>
    </w:p>
    <w:p w14:paraId="51850C3E" w14:textId="77777777" w:rsidR="005162EC" w:rsidRPr="00385F4C" w:rsidRDefault="003A75A5" w:rsidP="005162EC">
      <w:r>
        <w:rPr>
          <w:b/>
        </w:rPr>
        <w:lastRenderedPageBreak/>
        <w:t>9</w:t>
      </w:r>
      <w:r w:rsidR="00E83B4A">
        <w:rPr>
          <w:b/>
        </w:rPr>
        <w:t>.</w:t>
      </w:r>
      <w:r w:rsidR="005162EC" w:rsidRPr="00385F4C">
        <w:rPr>
          <w:b/>
        </w:rPr>
        <w:t xml:space="preserve"> Sammenfattende skema</w:t>
      </w:r>
    </w:p>
    <w:p w14:paraId="78339A49" w14:textId="77777777" w:rsidR="005162EC" w:rsidRPr="00385F4C" w:rsidRDefault="005162EC" w:rsidP="005162EC"/>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402"/>
        <w:gridCol w:w="3827"/>
      </w:tblGrid>
      <w:tr w:rsidR="005162EC" w:rsidRPr="00385F4C" w14:paraId="0942CBA7" w14:textId="77777777" w:rsidTr="00171F79">
        <w:tc>
          <w:tcPr>
            <w:tcW w:w="9322" w:type="dxa"/>
            <w:gridSpan w:val="3"/>
            <w:shd w:val="clear" w:color="auto" w:fill="auto"/>
          </w:tcPr>
          <w:p w14:paraId="6EB2D4B5" w14:textId="77777777" w:rsidR="005162EC" w:rsidRPr="00385F4C" w:rsidRDefault="005162EC" w:rsidP="00171F79">
            <w:pPr>
              <w:rPr>
                <w:b/>
              </w:rPr>
            </w:pPr>
            <w:r w:rsidRPr="00385F4C">
              <w:rPr>
                <w:b/>
              </w:rPr>
              <w:t>Sammenfattende skema</w:t>
            </w:r>
          </w:p>
          <w:p w14:paraId="5D971D10" w14:textId="77777777" w:rsidR="005162EC" w:rsidRPr="00385F4C" w:rsidRDefault="005162EC" w:rsidP="00171F79">
            <w:pPr>
              <w:rPr>
                <w:b/>
              </w:rPr>
            </w:pPr>
          </w:p>
        </w:tc>
      </w:tr>
      <w:tr w:rsidR="005162EC" w:rsidRPr="00385F4C" w14:paraId="6464369A" w14:textId="77777777" w:rsidTr="00171F79">
        <w:tc>
          <w:tcPr>
            <w:tcW w:w="2093" w:type="dxa"/>
            <w:shd w:val="clear" w:color="auto" w:fill="auto"/>
          </w:tcPr>
          <w:p w14:paraId="628B7B2A" w14:textId="77777777" w:rsidR="005162EC" w:rsidRPr="00385F4C" w:rsidRDefault="005162EC" w:rsidP="00171F79">
            <w:pPr>
              <w:rPr>
                <w:b/>
              </w:rPr>
            </w:pPr>
          </w:p>
        </w:tc>
        <w:tc>
          <w:tcPr>
            <w:tcW w:w="3402" w:type="dxa"/>
            <w:shd w:val="clear" w:color="auto" w:fill="auto"/>
          </w:tcPr>
          <w:p w14:paraId="1C00EEA0" w14:textId="77777777" w:rsidR="005162EC" w:rsidRPr="00385F4C" w:rsidRDefault="005162EC" w:rsidP="00171F79">
            <w:pPr>
              <w:rPr>
                <w:b/>
              </w:rPr>
            </w:pPr>
            <w:r w:rsidRPr="00385F4C">
              <w:rPr>
                <w:b/>
              </w:rPr>
              <w:t>Positive konsekvenser/</w:t>
            </w:r>
          </w:p>
          <w:p w14:paraId="6ACF26F8" w14:textId="77777777" w:rsidR="005162EC" w:rsidRPr="00385F4C" w:rsidRDefault="005162EC" w:rsidP="00171F79">
            <w:pPr>
              <w:rPr>
                <w:b/>
              </w:rPr>
            </w:pPr>
            <w:r w:rsidRPr="00385F4C">
              <w:rPr>
                <w:b/>
              </w:rPr>
              <w:t xml:space="preserve">Mindreudgifter </w:t>
            </w:r>
          </w:p>
        </w:tc>
        <w:tc>
          <w:tcPr>
            <w:tcW w:w="3827" w:type="dxa"/>
            <w:shd w:val="clear" w:color="auto" w:fill="auto"/>
          </w:tcPr>
          <w:p w14:paraId="2816F6CD" w14:textId="77777777" w:rsidR="005162EC" w:rsidRPr="00385F4C" w:rsidRDefault="005162EC" w:rsidP="00171F79">
            <w:pPr>
              <w:rPr>
                <w:b/>
              </w:rPr>
            </w:pPr>
            <w:r w:rsidRPr="00385F4C">
              <w:rPr>
                <w:b/>
              </w:rPr>
              <w:t>Negative konsekvenser/</w:t>
            </w:r>
          </w:p>
          <w:p w14:paraId="1406CFF2" w14:textId="77777777" w:rsidR="005162EC" w:rsidRPr="00385F4C" w:rsidRDefault="005162EC" w:rsidP="00171F79">
            <w:pPr>
              <w:rPr>
                <w:b/>
              </w:rPr>
            </w:pPr>
            <w:r w:rsidRPr="00385F4C">
              <w:rPr>
                <w:b/>
              </w:rPr>
              <w:t>merudgifter</w:t>
            </w:r>
          </w:p>
        </w:tc>
      </w:tr>
      <w:tr w:rsidR="005162EC" w:rsidRPr="00385F4C" w14:paraId="7036C543" w14:textId="77777777" w:rsidTr="00171F79">
        <w:tc>
          <w:tcPr>
            <w:tcW w:w="2093" w:type="dxa"/>
            <w:shd w:val="clear" w:color="auto" w:fill="auto"/>
          </w:tcPr>
          <w:p w14:paraId="738F9AEB" w14:textId="77777777" w:rsidR="005162EC" w:rsidRPr="00385F4C" w:rsidRDefault="005162EC" w:rsidP="00171F79">
            <w:pPr>
              <w:rPr>
                <w:b/>
              </w:rPr>
            </w:pPr>
            <w:r w:rsidRPr="00385F4C">
              <w:rPr>
                <w:b/>
              </w:rPr>
              <w:t>Ø</w:t>
            </w:r>
            <w:r w:rsidR="00661A90">
              <w:rPr>
                <w:b/>
              </w:rPr>
              <w:t>k</w:t>
            </w:r>
            <w:r w:rsidRPr="00385F4C">
              <w:rPr>
                <w:b/>
              </w:rPr>
              <w:t xml:space="preserve">onomiske og administrative konsekvenser for det offentlige </w:t>
            </w:r>
          </w:p>
          <w:p w14:paraId="67371591" w14:textId="77777777" w:rsidR="005162EC" w:rsidRPr="00385F4C" w:rsidRDefault="005162EC" w:rsidP="00171F79"/>
        </w:tc>
        <w:tc>
          <w:tcPr>
            <w:tcW w:w="3402" w:type="dxa"/>
            <w:shd w:val="clear" w:color="auto" w:fill="auto"/>
          </w:tcPr>
          <w:p w14:paraId="4743409B" w14:textId="77777777" w:rsidR="005162EC" w:rsidRPr="00385F4C" w:rsidRDefault="005162EC" w:rsidP="007E5911">
            <w:r>
              <w:t xml:space="preserve">Besparelser </w:t>
            </w:r>
            <w:r w:rsidR="007E5911">
              <w:t xml:space="preserve">for regionerne til komitésystemet </w:t>
            </w:r>
            <w:r>
              <w:t>udgør ca.</w:t>
            </w:r>
            <w:r w:rsidR="00DA5EF4" w:rsidDel="00DA5EF4">
              <w:t xml:space="preserve"> </w:t>
            </w:r>
            <w:r w:rsidR="005536FF">
              <w:t>5,3</w:t>
            </w:r>
            <w:r>
              <w:t xml:space="preserve"> mio. kr. årligt.</w:t>
            </w:r>
          </w:p>
        </w:tc>
        <w:tc>
          <w:tcPr>
            <w:tcW w:w="3827" w:type="dxa"/>
            <w:shd w:val="clear" w:color="auto" w:fill="auto"/>
          </w:tcPr>
          <w:p w14:paraId="7A12477B" w14:textId="77777777" w:rsidR="005162EC" w:rsidRDefault="005162EC" w:rsidP="00171F79">
            <w:r>
              <w:t xml:space="preserve">Ekstra udgifter </w:t>
            </w:r>
            <w:r w:rsidR="007E5911">
              <w:t xml:space="preserve">for staten til komitésystemet </w:t>
            </w:r>
            <w:r>
              <w:t>udgør ca. 7,8 mio. kr. årligt.</w:t>
            </w:r>
          </w:p>
          <w:p w14:paraId="2A4D3D56" w14:textId="77777777" w:rsidR="005162EC" w:rsidRPr="00385F4C" w:rsidRDefault="005162EC" w:rsidP="00171F79">
            <w:r>
              <w:t xml:space="preserve">Hertil kommer ca. 1,1 mio. kr. i etableringsudgifter </w:t>
            </w:r>
            <w:r w:rsidR="007E5911">
              <w:t xml:space="preserve">til komitésystemet </w:t>
            </w:r>
            <w:r>
              <w:t>det første år.</w:t>
            </w:r>
          </w:p>
        </w:tc>
      </w:tr>
      <w:tr w:rsidR="005162EC" w:rsidRPr="00385F4C" w14:paraId="6B9DD098" w14:textId="77777777" w:rsidTr="00171F79">
        <w:tc>
          <w:tcPr>
            <w:tcW w:w="2093" w:type="dxa"/>
            <w:shd w:val="clear" w:color="auto" w:fill="auto"/>
          </w:tcPr>
          <w:p w14:paraId="003A7DF3" w14:textId="77777777" w:rsidR="005162EC" w:rsidRPr="00385F4C" w:rsidRDefault="005162EC" w:rsidP="00171F79">
            <w:pPr>
              <w:rPr>
                <w:b/>
              </w:rPr>
            </w:pPr>
            <w:r w:rsidRPr="00385F4C">
              <w:rPr>
                <w:b/>
              </w:rPr>
              <w:t xml:space="preserve"> Økonomiske og administrative konsekvenser for erhvervslivet m</w:t>
            </w:r>
            <w:r w:rsidR="00094421">
              <w:rPr>
                <w:b/>
              </w:rPr>
              <w:t>.</w:t>
            </w:r>
            <w:r w:rsidRPr="00385F4C">
              <w:rPr>
                <w:b/>
              </w:rPr>
              <w:t>v.</w:t>
            </w:r>
          </w:p>
          <w:p w14:paraId="5EFE8840" w14:textId="77777777" w:rsidR="005162EC" w:rsidRPr="00385F4C" w:rsidRDefault="005162EC" w:rsidP="00171F79"/>
        </w:tc>
        <w:tc>
          <w:tcPr>
            <w:tcW w:w="3402" w:type="dxa"/>
            <w:shd w:val="clear" w:color="auto" w:fill="auto"/>
          </w:tcPr>
          <w:p w14:paraId="65BDE933" w14:textId="77777777" w:rsidR="005162EC" w:rsidRPr="00385F4C" w:rsidRDefault="005162EC" w:rsidP="00171F79">
            <w:r w:rsidRPr="002C6129">
              <w:t xml:space="preserve">Det </w:t>
            </w:r>
            <w:r>
              <w:t>forventes</w:t>
            </w:r>
            <w:r w:rsidRPr="002C6129">
              <w:t xml:space="preserve">, at </w:t>
            </w:r>
            <w:r>
              <w:t>lovforslaget ikke vil medføre væsentlige økonomiske konsekvenser for erhvervslivet.</w:t>
            </w:r>
          </w:p>
        </w:tc>
        <w:tc>
          <w:tcPr>
            <w:tcW w:w="3827" w:type="dxa"/>
            <w:shd w:val="clear" w:color="auto" w:fill="auto"/>
          </w:tcPr>
          <w:p w14:paraId="41A82B9C" w14:textId="77777777" w:rsidR="005162EC" w:rsidRPr="00385F4C" w:rsidRDefault="005162EC" w:rsidP="00171F79"/>
        </w:tc>
      </w:tr>
      <w:tr w:rsidR="005162EC" w:rsidRPr="00385F4C" w14:paraId="1218E4C8" w14:textId="77777777" w:rsidTr="00171F79">
        <w:tc>
          <w:tcPr>
            <w:tcW w:w="2093" w:type="dxa"/>
            <w:shd w:val="clear" w:color="auto" w:fill="auto"/>
          </w:tcPr>
          <w:p w14:paraId="205837A7" w14:textId="77777777" w:rsidR="005162EC" w:rsidRPr="00385F4C" w:rsidRDefault="005162EC" w:rsidP="00171F79">
            <w:r w:rsidRPr="00385F4C">
              <w:rPr>
                <w:b/>
              </w:rPr>
              <w:t xml:space="preserve"> Administrative konsekvenser for borgere</w:t>
            </w:r>
          </w:p>
        </w:tc>
        <w:tc>
          <w:tcPr>
            <w:tcW w:w="3402" w:type="dxa"/>
            <w:shd w:val="clear" w:color="auto" w:fill="auto"/>
          </w:tcPr>
          <w:p w14:paraId="735BD2D0" w14:textId="77777777" w:rsidR="005162EC" w:rsidRPr="00385F4C" w:rsidRDefault="005162EC" w:rsidP="00171F79">
            <w:r w:rsidRPr="002C6129">
              <w:t xml:space="preserve">Det </w:t>
            </w:r>
            <w:r>
              <w:t>forventes</w:t>
            </w:r>
            <w:r w:rsidRPr="002C6129">
              <w:t xml:space="preserve">, at </w:t>
            </w:r>
            <w:r>
              <w:t>lovforslaget ikke vil medføre administrative konsekvenser for borgerne.</w:t>
            </w:r>
          </w:p>
        </w:tc>
        <w:tc>
          <w:tcPr>
            <w:tcW w:w="3827" w:type="dxa"/>
            <w:shd w:val="clear" w:color="auto" w:fill="auto"/>
          </w:tcPr>
          <w:p w14:paraId="24B36AE7" w14:textId="77777777" w:rsidR="005162EC" w:rsidRPr="00385F4C" w:rsidRDefault="005162EC" w:rsidP="00171F79"/>
        </w:tc>
      </w:tr>
      <w:tr w:rsidR="005162EC" w:rsidRPr="00385F4C" w14:paraId="49E8834E" w14:textId="77777777" w:rsidTr="00171F79">
        <w:tc>
          <w:tcPr>
            <w:tcW w:w="2093" w:type="dxa"/>
            <w:shd w:val="clear" w:color="auto" w:fill="auto"/>
          </w:tcPr>
          <w:p w14:paraId="600D7D5C" w14:textId="77777777" w:rsidR="005162EC" w:rsidRPr="00385F4C" w:rsidRDefault="005162EC" w:rsidP="00171F79">
            <w:pPr>
              <w:rPr>
                <w:b/>
              </w:rPr>
            </w:pPr>
            <w:r w:rsidRPr="00385F4C">
              <w:rPr>
                <w:b/>
              </w:rPr>
              <w:t xml:space="preserve"> Miljømæssige konsekvenser</w:t>
            </w:r>
          </w:p>
          <w:p w14:paraId="008F0ED0" w14:textId="77777777" w:rsidR="005162EC" w:rsidRPr="00385F4C" w:rsidRDefault="005162EC" w:rsidP="00171F79">
            <w:pPr>
              <w:rPr>
                <w:b/>
              </w:rPr>
            </w:pPr>
          </w:p>
        </w:tc>
        <w:tc>
          <w:tcPr>
            <w:tcW w:w="3402" w:type="dxa"/>
            <w:shd w:val="clear" w:color="auto" w:fill="auto"/>
          </w:tcPr>
          <w:p w14:paraId="0B37F39E" w14:textId="77777777" w:rsidR="005162EC" w:rsidRPr="00385F4C" w:rsidRDefault="005162EC" w:rsidP="00171F79">
            <w:r>
              <w:t>Det forventes, at lovforslaget ikke vil medføre miljømæssige konsekvenser.</w:t>
            </w:r>
          </w:p>
        </w:tc>
        <w:tc>
          <w:tcPr>
            <w:tcW w:w="3827" w:type="dxa"/>
            <w:shd w:val="clear" w:color="auto" w:fill="auto"/>
          </w:tcPr>
          <w:p w14:paraId="7C89B4C2" w14:textId="77777777" w:rsidR="005162EC" w:rsidRPr="00385F4C" w:rsidRDefault="005162EC" w:rsidP="00171F79"/>
        </w:tc>
      </w:tr>
      <w:tr w:rsidR="005162EC" w:rsidRPr="00385F4C" w14:paraId="039D1184" w14:textId="77777777" w:rsidTr="00171F79">
        <w:tc>
          <w:tcPr>
            <w:tcW w:w="2093" w:type="dxa"/>
            <w:shd w:val="clear" w:color="auto" w:fill="auto"/>
          </w:tcPr>
          <w:p w14:paraId="78021D20" w14:textId="77777777" w:rsidR="005162EC" w:rsidRPr="00385F4C" w:rsidRDefault="005162EC" w:rsidP="00171F79">
            <w:pPr>
              <w:rPr>
                <w:b/>
              </w:rPr>
            </w:pPr>
            <w:r w:rsidRPr="00385F4C">
              <w:rPr>
                <w:b/>
              </w:rPr>
              <w:t xml:space="preserve"> Forholdet til EU-retten</w:t>
            </w:r>
          </w:p>
          <w:p w14:paraId="04245402" w14:textId="77777777" w:rsidR="005162EC" w:rsidRPr="00385F4C" w:rsidRDefault="005162EC" w:rsidP="00171F79"/>
        </w:tc>
        <w:tc>
          <w:tcPr>
            <w:tcW w:w="7229" w:type="dxa"/>
            <w:gridSpan w:val="2"/>
            <w:shd w:val="clear" w:color="auto" w:fill="auto"/>
          </w:tcPr>
          <w:p w14:paraId="00B77C1D" w14:textId="77777777" w:rsidR="005162EC" w:rsidRDefault="005162EC" w:rsidP="00171F79">
            <w:r>
              <w:t xml:space="preserve">Lovforslaget omfatter forslag til fastlæggelse de administrative rammer for </w:t>
            </w:r>
            <w:r w:rsidR="0058651B">
              <w:t>Lægemiddelstyrelsen</w:t>
            </w:r>
            <w:r>
              <w:t>s og de videnskabsetiske komiteers vurdering af kliniske forsøg med lægemidler i overensstemmelse med (EU) forordning nr. 536/2014.</w:t>
            </w:r>
          </w:p>
          <w:p w14:paraId="1A211E88" w14:textId="77777777" w:rsidR="005162EC" w:rsidRPr="00385F4C" w:rsidRDefault="005162EC" w:rsidP="00171F79"/>
        </w:tc>
      </w:tr>
    </w:tbl>
    <w:p w14:paraId="3BB5A638" w14:textId="77777777" w:rsidR="005162EC" w:rsidRPr="00385F4C" w:rsidRDefault="005162EC" w:rsidP="005162EC"/>
    <w:p w14:paraId="42B68973" w14:textId="77777777" w:rsidR="005162EC" w:rsidRPr="00577043" w:rsidRDefault="005162EC" w:rsidP="005162EC"/>
    <w:p w14:paraId="6FC3CD80" w14:textId="77777777" w:rsidR="005162EC" w:rsidRDefault="005162EC" w:rsidP="005162EC">
      <w:pPr>
        <w:ind w:firstLine="170"/>
        <w:jc w:val="both"/>
        <w:rPr>
          <w:rFonts w:eastAsia="Times New Roman" w:cs="Times New Roman"/>
          <w:color w:val="000000"/>
          <w:lang w:eastAsia="da-DK"/>
        </w:rPr>
      </w:pPr>
    </w:p>
    <w:p w14:paraId="45AFA7B4" w14:textId="77777777" w:rsidR="005162EC" w:rsidRDefault="005162EC" w:rsidP="005162EC">
      <w:pPr>
        <w:ind w:firstLine="170"/>
        <w:jc w:val="both"/>
        <w:rPr>
          <w:rFonts w:eastAsia="Times New Roman" w:cs="Times New Roman"/>
          <w:color w:val="000000"/>
          <w:lang w:eastAsia="da-DK"/>
        </w:rPr>
      </w:pPr>
    </w:p>
    <w:p w14:paraId="7EC17622" w14:textId="77777777" w:rsidR="00364B20" w:rsidRPr="00820EAA" w:rsidRDefault="00364B20" w:rsidP="00820EAA">
      <w:pPr>
        <w:pStyle w:val="Overskrift1"/>
        <w:rPr>
          <w:rFonts w:eastAsia="Times New Roman"/>
          <w:b w:val="0"/>
          <w:i/>
          <w:lang w:eastAsia="da-DK"/>
        </w:rPr>
      </w:pPr>
      <w:r w:rsidRPr="00820EAA">
        <w:rPr>
          <w:rFonts w:eastAsia="Times New Roman"/>
          <w:b w:val="0"/>
          <w:i/>
          <w:lang w:eastAsia="da-DK"/>
        </w:rPr>
        <w:t>Bemærkninger til lovforslagets enkelte bestemmelser</w:t>
      </w:r>
    </w:p>
    <w:p w14:paraId="5EDDFD12" w14:textId="77777777" w:rsidR="00C47ABF" w:rsidRPr="00577043" w:rsidRDefault="00C47ABF" w:rsidP="00CB2276">
      <w:pPr>
        <w:jc w:val="center"/>
        <w:rPr>
          <w:rFonts w:eastAsia="Times New Roman" w:cs="Times New Roman"/>
          <w:i/>
          <w:iCs/>
          <w:color w:val="000000"/>
          <w:lang w:eastAsia="da-DK"/>
        </w:rPr>
      </w:pPr>
    </w:p>
    <w:p w14:paraId="05428C29" w14:textId="77777777" w:rsidR="00A0488C" w:rsidRPr="00577043" w:rsidRDefault="00A0488C" w:rsidP="00764D76">
      <w:pPr>
        <w:pStyle w:val="Overskrift2"/>
        <w:keepNext w:val="0"/>
        <w:keepLines w:val="0"/>
        <w:jc w:val="left"/>
        <w:rPr>
          <w:rFonts w:eastAsia="Times New Roman" w:cs="Times New Roman"/>
          <w:lang w:eastAsia="da-DK"/>
        </w:rPr>
      </w:pPr>
      <w:r w:rsidRPr="00577043">
        <w:rPr>
          <w:rFonts w:eastAsia="Times New Roman" w:cs="Times New Roman"/>
          <w:iCs/>
          <w:lang w:eastAsia="da-DK"/>
        </w:rPr>
        <w:t xml:space="preserve">Til § 1 </w:t>
      </w:r>
    </w:p>
    <w:p w14:paraId="6507B498" w14:textId="77777777" w:rsidR="007A1F4A" w:rsidRPr="00577043" w:rsidRDefault="00604905" w:rsidP="00764D76">
      <w:pPr>
        <w:rPr>
          <w:rFonts w:eastAsia="Times New Roman" w:cs="Times New Roman"/>
          <w:bCs/>
          <w:iCs/>
          <w:color w:val="000000"/>
          <w:lang w:eastAsia="da-DK"/>
        </w:rPr>
      </w:pPr>
      <w:r w:rsidRPr="00577043">
        <w:rPr>
          <w:rFonts w:eastAsia="Times New Roman" w:cs="Times New Roman"/>
          <w:iCs/>
          <w:color w:val="000000"/>
          <w:lang w:eastAsia="da-DK"/>
        </w:rPr>
        <w:t xml:space="preserve">Med forordningen fastsættes regler </w:t>
      </w:r>
      <w:r w:rsidR="00574B02">
        <w:rPr>
          <w:rFonts w:eastAsia="Times New Roman" w:cs="Times New Roman"/>
          <w:iCs/>
          <w:color w:val="000000"/>
          <w:lang w:eastAsia="da-DK"/>
        </w:rPr>
        <w:t>om</w:t>
      </w:r>
      <w:r w:rsidRPr="00577043">
        <w:rPr>
          <w:rFonts w:eastAsia="Times New Roman" w:cs="Times New Roman"/>
          <w:iCs/>
          <w:color w:val="000000"/>
          <w:lang w:eastAsia="da-DK"/>
        </w:rPr>
        <w:t xml:space="preserve"> kliniske forsøg på mennesker med lægemidler, som erstatter </w:t>
      </w:r>
      <w:r w:rsidR="00045593" w:rsidRPr="00577043">
        <w:rPr>
          <w:rFonts w:eastAsia="Times New Roman" w:cs="Times New Roman"/>
          <w:iCs/>
          <w:color w:val="000000"/>
          <w:lang w:eastAsia="da-DK"/>
        </w:rPr>
        <w:t xml:space="preserve">direktiv 2001/20/EF og dermed </w:t>
      </w:r>
      <w:r w:rsidRPr="00577043">
        <w:rPr>
          <w:rFonts w:eastAsia="Times New Roman" w:cs="Times New Roman"/>
          <w:iCs/>
          <w:color w:val="000000"/>
          <w:lang w:eastAsia="da-DK"/>
        </w:rPr>
        <w:t xml:space="preserve">reglerne </w:t>
      </w:r>
      <w:r w:rsidR="00045593" w:rsidRPr="00577043">
        <w:rPr>
          <w:rFonts w:eastAsia="Times New Roman" w:cs="Times New Roman"/>
          <w:iCs/>
          <w:color w:val="000000"/>
          <w:lang w:eastAsia="da-DK"/>
        </w:rPr>
        <w:t xml:space="preserve">om kliniske forsøg med lægemidler </w:t>
      </w:r>
      <w:r w:rsidRPr="00577043">
        <w:rPr>
          <w:rFonts w:eastAsia="Times New Roman" w:cs="Times New Roman"/>
          <w:iCs/>
          <w:color w:val="000000"/>
          <w:lang w:eastAsia="da-DK"/>
        </w:rPr>
        <w:t>i lægemiddelloven og komitéloven</w:t>
      </w:r>
      <w:r w:rsidR="008E44EA" w:rsidRPr="00577043">
        <w:rPr>
          <w:rFonts w:eastAsia="Times New Roman" w:cs="Times New Roman"/>
          <w:iCs/>
          <w:color w:val="000000"/>
          <w:lang w:eastAsia="da-DK"/>
        </w:rPr>
        <w:t>.</w:t>
      </w:r>
      <w:r w:rsidRPr="00577043">
        <w:rPr>
          <w:rFonts w:eastAsia="Times New Roman" w:cs="Times New Roman"/>
          <w:bCs/>
          <w:iCs/>
          <w:color w:val="000000"/>
          <w:lang w:eastAsia="da-DK"/>
        </w:rPr>
        <w:t xml:space="preserve"> </w:t>
      </w:r>
      <w:r w:rsidR="00EE7614" w:rsidRPr="00577043">
        <w:rPr>
          <w:rFonts w:eastAsia="Times New Roman" w:cs="Times New Roman"/>
          <w:bCs/>
          <w:iCs/>
          <w:color w:val="000000"/>
          <w:lang w:eastAsia="da-DK"/>
        </w:rPr>
        <w:t xml:space="preserve">Formålet </w:t>
      </w:r>
      <w:r w:rsidR="00EE6992" w:rsidRPr="00577043">
        <w:rPr>
          <w:rFonts w:eastAsia="Times New Roman" w:cs="Times New Roman"/>
          <w:bCs/>
          <w:iCs/>
          <w:color w:val="000000"/>
          <w:lang w:eastAsia="da-DK"/>
        </w:rPr>
        <w:t xml:space="preserve">med forordningen </w:t>
      </w:r>
      <w:r w:rsidR="00EE7614" w:rsidRPr="00577043">
        <w:rPr>
          <w:rFonts w:eastAsia="Times New Roman" w:cs="Times New Roman"/>
          <w:bCs/>
          <w:iCs/>
          <w:color w:val="000000"/>
          <w:lang w:eastAsia="da-DK"/>
        </w:rPr>
        <w:t>er bl.a. at sikre</w:t>
      </w:r>
      <w:r w:rsidR="00D17B91" w:rsidRPr="00577043">
        <w:rPr>
          <w:rFonts w:eastAsia="Times New Roman" w:cs="Times New Roman"/>
          <w:bCs/>
          <w:iCs/>
          <w:color w:val="000000"/>
          <w:lang w:eastAsia="da-DK"/>
        </w:rPr>
        <w:t>, at</w:t>
      </w:r>
      <w:r w:rsidR="00EE7614" w:rsidRPr="00577043">
        <w:rPr>
          <w:rFonts w:eastAsia="Times New Roman" w:cs="Times New Roman"/>
          <w:bCs/>
          <w:iCs/>
          <w:color w:val="000000"/>
          <w:lang w:eastAsia="da-DK"/>
        </w:rPr>
        <w:t xml:space="preserve"> forsøgspersoners rettigheder, sikkerhed, værdighed og velbefindende beskyttes, og at de generede data er pålidelige og robuste, jf. betragtning nr. 1 i forordningen. </w:t>
      </w:r>
    </w:p>
    <w:p w14:paraId="73A811CB" w14:textId="77777777" w:rsidR="007A1F4A" w:rsidRPr="00577043" w:rsidRDefault="007A1F4A" w:rsidP="00764D76">
      <w:pPr>
        <w:rPr>
          <w:rFonts w:eastAsia="Times New Roman" w:cs="Times New Roman"/>
          <w:bCs/>
          <w:iCs/>
          <w:color w:val="000000"/>
          <w:lang w:eastAsia="da-DK"/>
        </w:rPr>
      </w:pPr>
    </w:p>
    <w:p w14:paraId="11BF8C24" w14:textId="77777777" w:rsidR="00604905" w:rsidRPr="00577043" w:rsidRDefault="00EE7614" w:rsidP="00764D76">
      <w:pPr>
        <w:rPr>
          <w:rFonts w:eastAsia="Times New Roman" w:cs="Times New Roman"/>
          <w:bCs/>
          <w:iCs/>
          <w:color w:val="000000"/>
          <w:lang w:eastAsia="da-DK"/>
        </w:rPr>
      </w:pPr>
      <w:r w:rsidRPr="00577043">
        <w:rPr>
          <w:rFonts w:eastAsia="Times New Roman" w:cs="Times New Roman"/>
          <w:bCs/>
          <w:iCs/>
          <w:color w:val="000000"/>
          <w:lang w:eastAsia="da-DK"/>
        </w:rPr>
        <w:t xml:space="preserve">Det er overladt til de enkelte medlemsstater at fastsætte de administrative rammer for godkendelse og opfølgningen på kliniske forsøg med lægemidler. Formålet med </w:t>
      </w:r>
      <w:r w:rsidR="002D04F6" w:rsidRPr="00577043">
        <w:rPr>
          <w:rFonts w:eastAsia="Times New Roman" w:cs="Times New Roman"/>
          <w:bCs/>
          <w:iCs/>
          <w:color w:val="000000"/>
          <w:lang w:eastAsia="da-DK"/>
        </w:rPr>
        <w:t>dette forslag til</w:t>
      </w:r>
      <w:r w:rsidRPr="00577043">
        <w:rPr>
          <w:rFonts w:eastAsia="Times New Roman" w:cs="Times New Roman"/>
          <w:bCs/>
          <w:iCs/>
          <w:color w:val="000000"/>
          <w:lang w:eastAsia="da-DK"/>
        </w:rPr>
        <w:t xml:space="preserve"> lov om kliniske forsøg med lægemidler er at fastsætte sådanne rammer for den sundhedsfaglige og videnskabsetiske vurdering </w:t>
      </w:r>
      <w:r w:rsidR="00761EF0" w:rsidRPr="00577043">
        <w:rPr>
          <w:rFonts w:eastAsia="Times New Roman" w:cs="Times New Roman"/>
          <w:bCs/>
          <w:iCs/>
          <w:color w:val="000000"/>
          <w:lang w:eastAsia="da-DK"/>
        </w:rPr>
        <w:t>af og opfølgning på kliniske lægemiddelforsøg, som skal foretages af danske myndigheder</w:t>
      </w:r>
      <w:r w:rsidR="00717DA5">
        <w:rPr>
          <w:rFonts w:eastAsia="Times New Roman" w:cs="Times New Roman"/>
          <w:bCs/>
          <w:iCs/>
          <w:color w:val="000000"/>
          <w:lang w:eastAsia="da-DK"/>
        </w:rPr>
        <w:t xml:space="preserve"> i overensstemmelse med forordningen</w:t>
      </w:r>
      <w:r w:rsidR="00761EF0" w:rsidRPr="00577043">
        <w:rPr>
          <w:rFonts w:eastAsia="Times New Roman" w:cs="Times New Roman"/>
          <w:bCs/>
          <w:iCs/>
          <w:color w:val="000000"/>
          <w:lang w:eastAsia="da-DK"/>
        </w:rPr>
        <w:t>.</w:t>
      </w:r>
      <w:r w:rsidR="00604905" w:rsidRPr="00577043">
        <w:rPr>
          <w:rFonts w:eastAsia="Times New Roman" w:cs="Times New Roman"/>
          <w:bCs/>
          <w:iCs/>
          <w:color w:val="000000"/>
          <w:lang w:eastAsia="da-DK"/>
        </w:rPr>
        <w:t xml:space="preserve"> </w:t>
      </w:r>
      <w:r w:rsidR="00ED2FC2" w:rsidRPr="00577043">
        <w:rPr>
          <w:rFonts w:eastAsia="Times New Roman" w:cs="Times New Roman"/>
          <w:bCs/>
          <w:iCs/>
          <w:color w:val="000000"/>
          <w:lang w:eastAsia="da-DK"/>
        </w:rPr>
        <w:t>Samtidig skal forslaget medvirke til at sikre grundlaget for en effektiv administration, der kan medvirke til at understø</w:t>
      </w:r>
      <w:r w:rsidR="00A160C3" w:rsidRPr="00577043">
        <w:rPr>
          <w:rFonts w:eastAsia="Times New Roman" w:cs="Times New Roman"/>
          <w:bCs/>
          <w:iCs/>
          <w:color w:val="000000"/>
          <w:lang w:eastAsia="da-DK"/>
        </w:rPr>
        <w:t>tte regeringens målsætning om en stærk dansk forskende læ</w:t>
      </w:r>
      <w:r w:rsidR="00ED2FC2" w:rsidRPr="00577043">
        <w:rPr>
          <w:rFonts w:eastAsia="Times New Roman" w:cs="Times New Roman"/>
          <w:bCs/>
          <w:iCs/>
          <w:color w:val="000000"/>
          <w:lang w:eastAsia="da-DK"/>
        </w:rPr>
        <w:t>g</w:t>
      </w:r>
      <w:r w:rsidR="00A160C3" w:rsidRPr="00577043">
        <w:rPr>
          <w:rFonts w:eastAsia="Times New Roman" w:cs="Times New Roman"/>
          <w:bCs/>
          <w:iCs/>
          <w:color w:val="000000"/>
          <w:lang w:eastAsia="da-DK"/>
        </w:rPr>
        <w:t>e</w:t>
      </w:r>
      <w:r w:rsidR="00ED2FC2" w:rsidRPr="00577043">
        <w:rPr>
          <w:rFonts w:eastAsia="Times New Roman" w:cs="Times New Roman"/>
          <w:bCs/>
          <w:iCs/>
          <w:color w:val="000000"/>
          <w:lang w:eastAsia="da-DK"/>
        </w:rPr>
        <w:t>middelindustri.</w:t>
      </w:r>
    </w:p>
    <w:p w14:paraId="7C6FEA0F" w14:textId="77777777" w:rsidR="00C47ABF" w:rsidRPr="00577043" w:rsidRDefault="00C47ABF" w:rsidP="00764D76">
      <w:pPr>
        <w:rPr>
          <w:rFonts w:eastAsia="Times New Roman" w:cs="Times New Roman"/>
          <w:iCs/>
          <w:color w:val="000000"/>
          <w:lang w:eastAsia="da-DK"/>
        </w:rPr>
      </w:pPr>
    </w:p>
    <w:p w14:paraId="6C734F5C" w14:textId="77777777" w:rsidR="00420416" w:rsidRPr="00577043" w:rsidRDefault="00420416" w:rsidP="00764D76">
      <w:pPr>
        <w:rPr>
          <w:rFonts w:eastAsia="Times New Roman" w:cs="Times New Roman"/>
          <w:iCs/>
          <w:color w:val="000000"/>
          <w:lang w:eastAsia="da-DK"/>
        </w:rPr>
      </w:pPr>
      <w:r w:rsidRPr="00577043">
        <w:rPr>
          <w:rFonts w:eastAsia="Times New Roman" w:cs="Times New Roman"/>
          <w:iCs/>
          <w:color w:val="000000"/>
          <w:lang w:eastAsia="da-DK"/>
        </w:rPr>
        <w:t xml:space="preserve">Det foreslås desuden, at </w:t>
      </w:r>
      <w:r w:rsidR="00E6547F" w:rsidRPr="00577043">
        <w:rPr>
          <w:rFonts w:eastAsia="Times New Roman" w:cs="Times New Roman"/>
          <w:iCs/>
          <w:color w:val="000000"/>
          <w:lang w:eastAsia="da-DK"/>
        </w:rPr>
        <w:t xml:space="preserve">reglerne om </w:t>
      </w:r>
      <w:r w:rsidRPr="00577043">
        <w:rPr>
          <w:rFonts w:eastAsia="Times New Roman" w:cs="Times New Roman"/>
          <w:iCs/>
          <w:color w:val="000000"/>
          <w:lang w:eastAsia="da-DK"/>
        </w:rPr>
        <w:t>klinis</w:t>
      </w:r>
      <w:r w:rsidR="00E6547F" w:rsidRPr="00577043">
        <w:rPr>
          <w:rFonts w:eastAsia="Times New Roman" w:cs="Times New Roman"/>
          <w:iCs/>
          <w:color w:val="000000"/>
          <w:lang w:eastAsia="da-DK"/>
        </w:rPr>
        <w:t xml:space="preserve">ke forsøg </w:t>
      </w:r>
      <w:r w:rsidR="004E68CC" w:rsidRPr="00577043">
        <w:rPr>
          <w:rFonts w:eastAsia="Times New Roman" w:cs="Times New Roman"/>
          <w:iCs/>
          <w:color w:val="000000"/>
          <w:lang w:eastAsia="da-DK"/>
        </w:rPr>
        <w:t xml:space="preserve">på dyr med lægemidler ligeledes reguleres i den </w:t>
      </w:r>
      <w:r w:rsidR="00045593" w:rsidRPr="00577043">
        <w:rPr>
          <w:rFonts w:eastAsia="Times New Roman" w:cs="Times New Roman"/>
          <w:iCs/>
          <w:color w:val="000000"/>
          <w:lang w:eastAsia="da-DK"/>
        </w:rPr>
        <w:t>her</w:t>
      </w:r>
      <w:r w:rsidR="004E68CC" w:rsidRPr="00577043">
        <w:rPr>
          <w:rFonts w:eastAsia="Times New Roman" w:cs="Times New Roman"/>
          <w:iCs/>
          <w:color w:val="000000"/>
          <w:lang w:eastAsia="da-DK"/>
        </w:rPr>
        <w:t xml:space="preserve"> foreslåede</w:t>
      </w:r>
      <w:r w:rsidRPr="00577043">
        <w:rPr>
          <w:rFonts w:eastAsia="Times New Roman" w:cs="Times New Roman"/>
          <w:iCs/>
          <w:color w:val="000000"/>
          <w:lang w:eastAsia="da-DK"/>
        </w:rPr>
        <w:t xml:space="preserve"> lov, således at </w:t>
      </w:r>
      <w:r w:rsidR="00045593" w:rsidRPr="00577043">
        <w:rPr>
          <w:rFonts w:eastAsia="Times New Roman" w:cs="Times New Roman"/>
          <w:iCs/>
          <w:color w:val="000000"/>
          <w:lang w:eastAsia="da-DK"/>
        </w:rPr>
        <w:t>alle kliniske forsøg med lægemidler</w:t>
      </w:r>
      <w:r w:rsidRPr="00577043">
        <w:rPr>
          <w:rFonts w:eastAsia="Times New Roman" w:cs="Times New Roman"/>
          <w:iCs/>
          <w:color w:val="000000"/>
          <w:lang w:eastAsia="da-DK"/>
        </w:rPr>
        <w:t xml:space="preserve"> </w:t>
      </w:r>
      <w:r w:rsidR="00717DA5">
        <w:rPr>
          <w:rFonts w:eastAsia="Times New Roman" w:cs="Times New Roman"/>
          <w:iCs/>
          <w:color w:val="000000"/>
          <w:lang w:eastAsia="da-DK"/>
        </w:rPr>
        <w:t xml:space="preserve">primært </w:t>
      </w:r>
      <w:r w:rsidRPr="00577043">
        <w:rPr>
          <w:rFonts w:eastAsia="Times New Roman" w:cs="Times New Roman"/>
          <w:iCs/>
          <w:color w:val="000000"/>
          <w:lang w:eastAsia="da-DK"/>
        </w:rPr>
        <w:t xml:space="preserve">reguleres i en enkelt lov. </w:t>
      </w:r>
    </w:p>
    <w:p w14:paraId="1EB87DD3" w14:textId="77777777" w:rsidR="00C511B2" w:rsidRPr="00577043" w:rsidRDefault="00C511B2" w:rsidP="00C511B2">
      <w:pPr>
        <w:jc w:val="both"/>
        <w:rPr>
          <w:rFonts w:eastAsia="Times New Roman" w:cs="Times New Roman"/>
          <w:color w:val="000000"/>
          <w:lang w:eastAsia="da-DK"/>
        </w:rPr>
      </w:pPr>
    </w:p>
    <w:p w14:paraId="26BFD5CE" w14:textId="77777777" w:rsidR="00C511B2" w:rsidRPr="00577043" w:rsidRDefault="00C511B2" w:rsidP="00C511B2">
      <w:pPr>
        <w:jc w:val="both"/>
        <w:rPr>
          <w:rFonts w:eastAsia="Times New Roman" w:cs="Times New Roman"/>
          <w:color w:val="000000"/>
          <w:lang w:eastAsia="da-DK"/>
        </w:rPr>
      </w:pPr>
      <w:r w:rsidRPr="00577043">
        <w:rPr>
          <w:rFonts w:eastAsia="Times New Roman" w:cs="Times New Roman"/>
          <w:color w:val="000000"/>
          <w:lang w:eastAsia="da-DK"/>
        </w:rPr>
        <w:lastRenderedPageBreak/>
        <w:t>Endelig foreslås nugældende bestemmelser i lov om lægemidler og komitéloven om kliniske forsøg med lægemidler ophævet, når alene forordningens bestemmeler skal finde anvendelse.</w:t>
      </w:r>
    </w:p>
    <w:p w14:paraId="287A049F" w14:textId="77777777" w:rsidR="002D04F6" w:rsidRPr="00577043" w:rsidRDefault="002D04F6" w:rsidP="00CB2276">
      <w:pPr>
        <w:keepNext/>
        <w:rPr>
          <w:rFonts w:eastAsia="Times New Roman" w:cs="Times New Roman"/>
          <w:iCs/>
          <w:color w:val="000000"/>
          <w:lang w:eastAsia="da-DK"/>
        </w:rPr>
      </w:pPr>
    </w:p>
    <w:p w14:paraId="6C1017DC" w14:textId="77777777" w:rsidR="001E1588" w:rsidRPr="00577043" w:rsidRDefault="001E1588" w:rsidP="00CB2276">
      <w:pPr>
        <w:keepNext/>
        <w:rPr>
          <w:rFonts w:eastAsia="Times New Roman" w:cs="Times New Roman"/>
          <w:iCs/>
          <w:color w:val="000000"/>
          <w:lang w:eastAsia="da-DK"/>
        </w:rPr>
      </w:pPr>
    </w:p>
    <w:p w14:paraId="4070336E" w14:textId="77777777" w:rsidR="00A141EC" w:rsidRDefault="00A141EC" w:rsidP="00B13440">
      <w:pPr>
        <w:pStyle w:val="Overskrift2"/>
        <w:jc w:val="left"/>
        <w:rPr>
          <w:rFonts w:eastAsia="Times New Roman" w:cs="Times New Roman"/>
          <w:lang w:eastAsia="da-DK"/>
        </w:rPr>
      </w:pPr>
      <w:r w:rsidRPr="00577043">
        <w:rPr>
          <w:rFonts w:eastAsia="Times New Roman" w:cs="Times New Roman"/>
          <w:lang w:eastAsia="da-DK"/>
        </w:rPr>
        <w:t xml:space="preserve">Til § </w:t>
      </w:r>
      <w:r w:rsidR="00605212">
        <w:rPr>
          <w:rFonts w:eastAsia="Times New Roman" w:cs="Times New Roman"/>
          <w:lang w:eastAsia="da-DK"/>
        </w:rPr>
        <w:t>2</w:t>
      </w:r>
      <w:r w:rsidRPr="00577043">
        <w:rPr>
          <w:rFonts w:eastAsia="Times New Roman" w:cs="Times New Roman"/>
          <w:lang w:eastAsia="da-DK"/>
        </w:rPr>
        <w:t xml:space="preserve"> [Stedfortrædende samtykke]</w:t>
      </w:r>
    </w:p>
    <w:p w14:paraId="2B71DB01" w14:textId="77777777" w:rsidR="00B909AB" w:rsidRPr="00577043" w:rsidRDefault="00EA6C08" w:rsidP="00E96753">
      <w:pPr>
        <w:rPr>
          <w:rFonts w:eastAsia="Times New Roman" w:cs="Times New Roman"/>
          <w:iCs/>
          <w:color w:val="000000"/>
          <w:lang w:eastAsia="da-DK"/>
        </w:rPr>
      </w:pPr>
      <w:r w:rsidRPr="00577043">
        <w:rPr>
          <w:rFonts w:eastAsia="Times New Roman" w:cs="Times New Roman"/>
          <w:iCs/>
          <w:color w:val="000000"/>
          <w:lang w:eastAsia="da-DK"/>
        </w:rPr>
        <w:t xml:space="preserve">Det foreslås med </w:t>
      </w:r>
      <w:r w:rsidRPr="00C75167">
        <w:rPr>
          <w:rFonts w:eastAsia="Times New Roman" w:cs="Times New Roman"/>
          <w:i/>
          <w:iCs/>
          <w:color w:val="000000"/>
          <w:lang w:eastAsia="da-DK"/>
        </w:rPr>
        <w:t xml:space="preserve">§ </w:t>
      </w:r>
      <w:r w:rsidR="00512DDB">
        <w:rPr>
          <w:rFonts w:eastAsia="Times New Roman" w:cs="Times New Roman"/>
          <w:i/>
          <w:iCs/>
          <w:color w:val="000000"/>
          <w:lang w:eastAsia="da-DK"/>
        </w:rPr>
        <w:t>2</w:t>
      </w:r>
      <w:r w:rsidRPr="00C75167">
        <w:rPr>
          <w:rFonts w:eastAsia="Times New Roman" w:cs="Times New Roman"/>
          <w:i/>
          <w:iCs/>
          <w:color w:val="000000"/>
          <w:lang w:eastAsia="da-DK"/>
        </w:rPr>
        <w:t>, stk. 1</w:t>
      </w:r>
      <w:r w:rsidRPr="00577043">
        <w:rPr>
          <w:rFonts w:eastAsia="Times New Roman" w:cs="Times New Roman"/>
          <w:iCs/>
          <w:color w:val="000000"/>
          <w:lang w:eastAsia="da-DK"/>
        </w:rPr>
        <w:t xml:space="preserve">, at videreføre den gældende bestemmelse </w:t>
      </w:r>
      <w:r w:rsidR="00B909AB" w:rsidRPr="00577043">
        <w:rPr>
          <w:rFonts w:eastAsia="Times New Roman" w:cs="Times New Roman"/>
          <w:iCs/>
          <w:color w:val="000000"/>
          <w:lang w:eastAsia="da-DK"/>
        </w:rPr>
        <w:t>i komitélovens § 4, stk. 1,</w:t>
      </w:r>
      <w:r w:rsidR="00574B02">
        <w:rPr>
          <w:rFonts w:eastAsia="Times New Roman" w:cs="Times New Roman"/>
          <w:iCs/>
          <w:color w:val="000000"/>
          <w:lang w:eastAsia="da-DK"/>
        </w:rPr>
        <w:t xml:space="preserve"> om</w:t>
      </w:r>
      <w:r w:rsidRPr="00577043">
        <w:rPr>
          <w:rFonts w:eastAsia="Times New Roman" w:cs="Times New Roman"/>
          <w:iCs/>
          <w:color w:val="000000"/>
          <w:lang w:eastAsia="da-DK"/>
        </w:rPr>
        <w:t xml:space="preserve"> stedfortrædende samtykke på vegne af mindreårige forsøgspersoner</w:t>
      </w:r>
      <w:r w:rsidR="00B909AB" w:rsidRPr="00577043">
        <w:rPr>
          <w:rFonts w:eastAsia="Times New Roman" w:cs="Times New Roman"/>
          <w:iCs/>
          <w:color w:val="000000"/>
          <w:lang w:eastAsia="da-DK"/>
        </w:rPr>
        <w:t>, som indebærer, at stedfortrædende samtykke på vegne af mindreårige forsøgspersoner skal afgives af forældremyndigheden</w:t>
      </w:r>
      <w:r w:rsidR="00AA1BDB" w:rsidRPr="00577043">
        <w:rPr>
          <w:rFonts w:eastAsia="Times New Roman" w:cs="Times New Roman"/>
          <w:iCs/>
          <w:color w:val="000000"/>
          <w:lang w:eastAsia="da-DK"/>
        </w:rPr>
        <w:t>.</w:t>
      </w:r>
      <w:r w:rsidR="00B909AB" w:rsidRPr="00577043">
        <w:rPr>
          <w:rFonts w:eastAsia="Times New Roman" w:cs="Times New Roman"/>
          <w:iCs/>
          <w:color w:val="000000"/>
          <w:lang w:eastAsia="da-DK"/>
        </w:rPr>
        <w:t xml:space="preserve"> Dog foreslås det med § </w:t>
      </w:r>
      <w:r w:rsidR="00512DDB">
        <w:rPr>
          <w:rFonts w:eastAsia="Times New Roman" w:cs="Times New Roman"/>
          <w:iCs/>
          <w:color w:val="000000"/>
          <w:lang w:eastAsia="da-DK"/>
        </w:rPr>
        <w:t>3</w:t>
      </w:r>
      <w:r w:rsidR="00B909AB" w:rsidRPr="00577043">
        <w:rPr>
          <w:rFonts w:eastAsia="Times New Roman" w:cs="Times New Roman"/>
          <w:iCs/>
          <w:color w:val="000000"/>
          <w:lang w:eastAsia="da-DK"/>
        </w:rPr>
        <w:t>, at forældremyndighedens samtykke skal suppleres med samtykke fra forsøgspersonen, for forsøgspersoner, som er fyldt 15 år.</w:t>
      </w:r>
      <w:r w:rsidR="00C42056" w:rsidRPr="00577043">
        <w:rPr>
          <w:rFonts w:eastAsia="Times New Roman" w:cs="Times New Roman"/>
          <w:iCs/>
          <w:color w:val="000000"/>
          <w:lang w:eastAsia="da-DK"/>
        </w:rPr>
        <w:t xml:space="preserve"> Det forudsættes, at begrebet ”forældremyndighedens indehaver” anvendes i overensstemmelse med den generelle anvendelse af begrebet, som er fastlagt ved forældreansvarsloven.</w:t>
      </w:r>
    </w:p>
    <w:p w14:paraId="49EB793F" w14:textId="77777777" w:rsidR="00EA6C08" w:rsidRPr="00577043" w:rsidRDefault="00AA1BDB" w:rsidP="00E96753">
      <w:pPr>
        <w:rPr>
          <w:rFonts w:eastAsia="Times New Roman" w:cs="Times New Roman"/>
          <w:iCs/>
          <w:color w:val="000000"/>
          <w:lang w:eastAsia="da-DK"/>
        </w:rPr>
      </w:pPr>
      <w:r w:rsidRPr="00577043">
        <w:rPr>
          <w:rFonts w:eastAsia="Times New Roman" w:cs="Times New Roman"/>
          <w:iCs/>
          <w:color w:val="000000"/>
          <w:lang w:eastAsia="da-DK"/>
        </w:rPr>
        <w:t xml:space="preserve"> </w:t>
      </w:r>
    </w:p>
    <w:p w14:paraId="69975574" w14:textId="77777777" w:rsidR="00D3312C" w:rsidRPr="00577043" w:rsidRDefault="00D3312C" w:rsidP="00D3312C">
      <w:pPr>
        <w:rPr>
          <w:rFonts w:eastAsia="Times New Roman" w:cs="Times New Roman"/>
          <w:iCs/>
          <w:color w:val="000000"/>
          <w:lang w:eastAsia="da-DK"/>
        </w:rPr>
      </w:pPr>
      <w:r w:rsidRPr="00577043">
        <w:rPr>
          <w:rFonts w:eastAsia="Times New Roman" w:cs="Times New Roman"/>
          <w:iCs/>
          <w:color w:val="000000"/>
          <w:lang w:eastAsia="da-DK"/>
        </w:rPr>
        <w:t xml:space="preserve">Det foreslås med § </w:t>
      </w:r>
      <w:r w:rsidR="00512DDB">
        <w:rPr>
          <w:rFonts w:eastAsia="Times New Roman" w:cs="Times New Roman"/>
          <w:i/>
          <w:iCs/>
          <w:color w:val="000000"/>
          <w:lang w:eastAsia="da-DK"/>
        </w:rPr>
        <w:t>2</w:t>
      </w:r>
      <w:r w:rsidRPr="00C75167">
        <w:rPr>
          <w:rFonts w:eastAsia="Times New Roman" w:cs="Times New Roman"/>
          <w:i/>
          <w:iCs/>
          <w:color w:val="000000"/>
          <w:lang w:eastAsia="da-DK"/>
        </w:rPr>
        <w:t>, stk. 2</w:t>
      </w:r>
      <w:r w:rsidRPr="00577043">
        <w:rPr>
          <w:rFonts w:eastAsia="Times New Roman" w:cs="Times New Roman"/>
          <w:iCs/>
          <w:color w:val="000000"/>
          <w:lang w:eastAsia="da-DK"/>
        </w:rPr>
        <w:t>, at videreføre komitélovens § 4, stk. 3, hvorefter et stedfortrædemde samtykke på vegne af forsøgspersoner, som er under et værgemål, skal gives af værgen, når værgemålet omfatter beføjelse til at meddele samtykke til deltagelse i sundhedsvidenskabelige forskningsprojekter, jf. værgemålslovens § 5, stk. 1.</w:t>
      </w:r>
      <w:r w:rsidR="00FE30B7">
        <w:rPr>
          <w:rFonts w:eastAsia="Times New Roman" w:cs="Times New Roman"/>
          <w:iCs/>
          <w:color w:val="000000"/>
          <w:lang w:eastAsia="da-DK"/>
        </w:rPr>
        <w:t xml:space="preserve"> Begrebet værge</w:t>
      </w:r>
      <w:r w:rsidR="004B0554" w:rsidRPr="00577043">
        <w:rPr>
          <w:rFonts w:eastAsia="Times New Roman" w:cs="Times New Roman"/>
          <w:iCs/>
          <w:color w:val="000000"/>
          <w:lang w:eastAsia="da-DK"/>
        </w:rPr>
        <w:t xml:space="preserve"> forudsættes anvendt i ov</w:t>
      </w:r>
      <w:r w:rsidR="00D5060F" w:rsidRPr="00577043">
        <w:rPr>
          <w:rFonts w:eastAsia="Times New Roman" w:cs="Times New Roman"/>
          <w:iCs/>
          <w:color w:val="000000"/>
          <w:lang w:eastAsia="da-DK"/>
        </w:rPr>
        <w:t>e</w:t>
      </w:r>
      <w:r w:rsidR="004B0554" w:rsidRPr="00577043">
        <w:rPr>
          <w:rFonts w:eastAsia="Times New Roman" w:cs="Times New Roman"/>
          <w:iCs/>
          <w:color w:val="000000"/>
          <w:lang w:eastAsia="da-DK"/>
        </w:rPr>
        <w:t>rensstemmelse med den generelle anvendelse af begrebet, som er fastlagt ved værgemålsloven.</w:t>
      </w:r>
      <w:r w:rsidR="00065F50" w:rsidRPr="00577043">
        <w:rPr>
          <w:rFonts w:eastAsia="Times New Roman" w:cs="Times New Roman"/>
          <w:iCs/>
          <w:color w:val="000000"/>
          <w:lang w:eastAsia="da-DK"/>
        </w:rPr>
        <w:t xml:space="preserve"> Værgemålet skal omfatte personlige forhold, herunder beføjelse til at meddele samtykke til deltagelse i kliniske forsøg med lægemidler. der henvises til værgemålslovens § 5, stk. 1 og stk. 3, jf. lovbekendtgørelse nr. 1015 af 20. augusts 2007 med senere ændringer.</w:t>
      </w:r>
    </w:p>
    <w:p w14:paraId="6DB62EBC" w14:textId="77777777" w:rsidR="00E32687" w:rsidRPr="00577043" w:rsidRDefault="00E32687" w:rsidP="004F44A7">
      <w:pPr>
        <w:rPr>
          <w:rFonts w:eastAsia="Times New Roman" w:cs="Times New Roman"/>
          <w:iCs/>
          <w:color w:val="000000"/>
          <w:lang w:eastAsia="da-DK"/>
        </w:rPr>
      </w:pPr>
    </w:p>
    <w:p w14:paraId="012BDC36" w14:textId="77777777" w:rsidR="004F44A7" w:rsidRPr="00577043" w:rsidRDefault="00D3312C" w:rsidP="004F44A7">
      <w:pPr>
        <w:rPr>
          <w:rFonts w:eastAsia="Times New Roman" w:cs="Times New Roman"/>
          <w:color w:val="000000"/>
          <w:lang w:eastAsia="da-DK"/>
        </w:rPr>
      </w:pPr>
      <w:r w:rsidRPr="00577043">
        <w:rPr>
          <w:rFonts w:eastAsia="Times New Roman" w:cs="Times New Roman"/>
          <w:iCs/>
          <w:color w:val="000000"/>
          <w:lang w:eastAsia="da-DK"/>
        </w:rPr>
        <w:t>Som noget nyt foreslås det m</w:t>
      </w:r>
      <w:r w:rsidR="004F44A7" w:rsidRPr="00577043">
        <w:rPr>
          <w:rFonts w:eastAsia="Times New Roman" w:cs="Times New Roman"/>
          <w:iCs/>
          <w:color w:val="000000"/>
          <w:lang w:eastAsia="da-DK"/>
        </w:rPr>
        <w:t xml:space="preserve">ed </w:t>
      </w:r>
      <w:r w:rsidR="004F44A7" w:rsidRPr="00C75167">
        <w:rPr>
          <w:rFonts w:eastAsia="Times New Roman" w:cs="Times New Roman"/>
          <w:i/>
          <w:iCs/>
          <w:color w:val="000000"/>
          <w:lang w:eastAsia="da-DK"/>
        </w:rPr>
        <w:t xml:space="preserve">§ </w:t>
      </w:r>
      <w:r w:rsidR="00512DDB">
        <w:rPr>
          <w:rFonts w:eastAsia="Times New Roman" w:cs="Times New Roman"/>
          <w:i/>
          <w:iCs/>
          <w:color w:val="000000"/>
          <w:lang w:eastAsia="da-DK"/>
        </w:rPr>
        <w:t>2</w:t>
      </w:r>
      <w:r w:rsidR="004F44A7" w:rsidRPr="00C75167">
        <w:rPr>
          <w:rFonts w:eastAsia="Times New Roman" w:cs="Times New Roman"/>
          <w:i/>
          <w:iCs/>
          <w:color w:val="000000"/>
          <w:lang w:eastAsia="da-DK"/>
        </w:rPr>
        <w:t xml:space="preserve">, stk. </w:t>
      </w:r>
      <w:r w:rsidRPr="00C75167">
        <w:rPr>
          <w:rFonts w:eastAsia="Times New Roman" w:cs="Times New Roman"/>
          <w:i/>
          <w:iCs/>
          <w:color w:val="000000"/>
          <w:lang w:eastAsia="da-DK"/>
        </w:rPr>
        <w:t>3</w:t>
      </w:r>
      <w:r w:rsidR="004F44A7" w:rsidRPr="00577043">
        <w:rPr>
          <w:rFonts w:eastAsia="Times New Roman" w:cs="Times New Roman"/>
          <w:iCs/>
          <w:color w:val="000000"/>
          <w:lang w:eastAsia="da-DK"/>
        </w:rPr>
        <w:t xml:space="preserve">, at </w:t>
      </w:r>
      <w:r w:rsidR="004F44A7" w:rsidRPr="00577043">
        <w:rPr>
          <w:rFonts w:eastAsia="Times New Roman" w:cs="Times New Roman"/>
          <w:color w:val="000000"/>
          <w:lang w:eastAsia="da-DK"/>
        </w:rPr>
        <w:t xml:space="preserve">et stedfortrædende samtykke på vegne af </w:t>
      </w:r>
      <w:r w:rsidR="0057116C" w:rsidRPr="00577043">
        <w:rPr>
          <w:rFonts w:eastAsia="Times New Roman" w:cs="Times New Roman"/>
          <w:color w:val="000000"/>
          <w:lang w:eastAsia="da-DK"/>
        </w:rPr>
        <w:t>forsøgspersoner uden handleevne (</w:t>
      </w:r>
      <w:r w:rsidR="004F44A7" w:rsidRPr="00577043">
        <w:rPr>
          <w:rFonts w:eastAsia="Times New Roman" w:cs="Times New Roman"/>
          <w:color w:val="000000"/>
          <w:lang w:eastAsia="da-DK"/>
        </w:rPr>
        <w:t>voksne inhabile forsøgspersoner</w:t>
      </w:r>
      <w:r w:rsidR="0057116C" w:rsidRPr="00577043">
        <w:rPr>
          <w:rFonts w:eastAsia="Times New Roman" w:cs="Times New Roman"/>
          <w:color w:val="000000"/>
          <w:lang w:eastAsia="da-DK"/>
        </w:rPr>
        <w:t>)</w:t>
      </w:r>
      <w:r w:rsidR="00C853E2" w:rsidRPr="00577043">
        <w:rPr>
          <w:rFonts w:eastAsia="Times New Roman" w:cs="Times New Roman"/>
          <w:color w:val="000000"/>
          <w:lang w:eastAsia="da-DK"/>
        </w:rPr>
        <w:t xml:space="preserve">, som ikke er under værgemål, </w:t>
      </w:r>
      <w:r w:rsidR="004F44A7" w:rsidRPr="00577043">
        <w:rPr>
          <w:rFonts w:eastAsia="Times New Roman" w:cs="Times New Roman"/>
          <w:color w:val="000000"/>
          <w:lang w:eastAsia="da-DK"/>
        </w:rPr>
        <w:t>skal gives af den nærmeste pårørende og en forsøgsværge, som er en</w:t>
      </w:r>
      <w:r w:rsidRPr="00577043">
        <w:rPr>
          <w:rFonts w:eastAsia="Times New Roman" w:cs="Times New Roman"/>
          <w:color w:val="000000"/>
          <w:lang w:eastAsia="da-DK"/>
        </w:rPr>
        <w:t xml:space="preserve"> læge</w:t>
      </w:r>
      <w:r w:rsidR="00975607">
        <w:rPr>
          <w:rFonts w:eastAsia="Times New Roman" w:cs="Times New Roman"/>
          <w:color w:val="000000"/>
          <w:lang w:eastAsia="da-DK"/>
        </w:rPr>
        <w:t>, der skal varetage forsøgspersonens interesser</w:t>
      </w:r>
      <w:r w:rsidR="004F44A7" w:rsidRPr="00577043">
        <w:rPr>
          <w:rFonts w:eastAsia="Times New Roman" w:cs="Times New Roman"/>
          <w:color w:val="000000"/>
          <w:lang w:eastAsia="da-DK"/>
        </w:rPr>
        <w:t xml:space="preserve">. Forsøgsværgen skal være uafhængig af </w:t>
      </w:r>
      <w:r w:rsidR="00C83311" w:rsidRPr="00577043">
        <w:rPr>
          <w:rFonts w:eastAsia="Times New Roman" w:cs="Times New Roman"/>
          <w:color w:val="000000"/>
          <w:lang w:eastAsia="da-DK"/>
        </w:rPr>
        <w:t>investigator</w:t>
      </w:r>
      <w:r w:rsidR="004F44A7" w:rsidRPr="00577043">
        <w:rPr>
          <w:rFonts w:eastAsia="Times New Roman" w:cs="Times New Roman"/>
          <w:color w:val="000000"/>
          <w:lang w:eastAsia="da-DK"/>
        </w:rPr>
        <w:t xml:space="preserve">s interesser og af interesser i det kliniske forsøg med lægemidler i øvrigt. </w:t>
      </w:r>
    </w:p>
    <w:p w14:paraId="0AABA51D" w14:textId="77777777" w:rsidR="00EA6C08" w:rsidRDefault="00EA6C08" w:rsidP="00E96753">
      <w:pPr>
        <w:rPr>
          <w:rFonts w:eastAsia="Times New Roman" w:cs="Times New Roman"/>
          <w:iCs/>
          <w:color w:val="000000"/>
          <w:lang w:eastAsia="da-DK"/>
        </w:rPr>
      </w:pPr>
    </w:p>
    <w:p w14:paraId="75EA046D" w14:textId="77777777" w:rsidR="00975607" w:rsidRPr="00577043" w:rsidRDefault="00975607" w:rsidP="00975607">
      <w:pPr>
        <w:rPr>
          <w:rFonts w:eastAsia="Times New Roman" w:cs="Times New Roman"/>
          <w:color w:val="000000"/>
          <w:lang w:eastAsia="da-DK"/>
        </w:rPr>
      </w:pPr>
      <w:r w:rsidRPr="00577043">
        <w:rPr>
          <w:rFonts w:eastAsia="Times New Roman" w:cs="Times New Roman"/>
          <w:color w:val="000000"/>
          <w:lang w:eastAsia="da-DK"/>
        </w:rPr>
        <w:t>Nærmeste pårørende skal som udgangspunkt findes blandt forsøgspersonens samlevende ægtefælle eller samlever, slægtninge i lige linje og søskende. En konkret vurdering vil afgøre, hvem der blandt disse er den nærmeste pårørende. Efter omstændighederne, og navnlig hvor der ikke findes ægtefælle, samlever eller børn, vil andre slægtninge, som forsøgspersonen er nært knyttet til eller nært besvogret med, også kunne betragtes som nære pårørende. Det er væsentligt, at den der afgiver stedfortrædende samtykke, nyder forsøgspersonens tillid og kender denne godt. En nær ven kan derfor i nogle tilfælde betragtes som nærmeste pårørende og have bemyndigelse til at afgive stedfortrædende samtykke. Den brede definition af pårørende skal ses i sammenhæng med, at deres samtykke ikke kan stå alene, men suppleres af et samtykke fra en forsøgsværge. Samtykkeerklæringen skal indeholde oplysninger om den pårørendes faktiske tilknytning til den inhabile voksne.</w:t>
      </w:r>
    </w:p>
    <w:p w14:paraId="2DB8CC76" w14:textId="77777777" w:rsidR="00975607" w:rsidRPr="00577043" w:rsidRDefault="00975607" w:rsidP="00975607">
      <w:pPr>
        <w:rPr>
          <w:rFonts w:eastAsia="Times New Roman" w:cs="Times New Roman"/>
          <w:color w:val="000000"/>
          <w:lang w:eastAsia="da-DK"/>
        </w:rPr>
      </w:pPr>
    </w:p>
    <w:p w14:paraId="25889AAB" w14:textId="77777777" w:rsidR="00975607" w:rsidRPr="00577043" w:rsidRDefault="00975607" w:rsidP="00975607">
      <w:pPr>
        <w:rPr>
          <w:rFonts w:eastAsia="Times New Roman" w:cs="Times New Roman"/>
          <w:color w:val="000000"/>
          <w:lang w:eastAsia="da-DK"/>
        </w:rPr>
      </w:pPr>
      <w:r w:rsidRPr="00577043">
        <w:rPr>
          <w:rFonts w:eastAsia="Times New Roman" w:cs="Times New Roman"/>
          <w:color w:val="000000"/>
          <w:lang w:eastAsia="da-DK"/>
        </w:rPr>
        <w:t>Forsøgsværgen skal være en læge, som ud fra sit kendskab til det faglige område for forsøget, har grundlag for at give samtykke på baggrund af information om det konkrete forsøg og forsøgspersonens tilstand, herunder til de fordele og risici, som fremgår af informationsmateriale</w:t>
      </w:r>
      <w:r>
        <w:rPr>
          <w:rFonts w:eastAsia="Times New Roman" w:cs="Times New Roman"/>
          <w:color w:val="000000"/>
          <w:lang w:eastAsia="da-DK"/>
        </w:rPr>
        <w:t>t</w:t>
      </w:r>
      <w:r w:rsidRPr="00577043">
        <w:rPr>
          <w:rFonts w:eastAsia="Times New Roman" w:cs="Times New Roman"/>
          <w:color w:val="000000"/>
          <w:lang w:eastAsia="da-DK"/>
        </w:rPr>
        <w:t xml:space="preserve"> til det godkendte forsøg. </w:t>
      </w:r>
    </w:p>
    <w:p w14:paraId="04A256C2" w14:textId="77777777" w:rsidR="00975607" w:rsidRPr="00577043" w:rsidRDefault="00975607" w:rsidP="00975607">
      <w:pPr>
        <w:rPr>
          <w:rFonts w:eastAsia="Times New Roman" w:cs="Times New Roman"/>
          <w:color w:val="000000"/>
          <w:lang w:eastAsia="da-DK"/>
        </w:rPr>
      </w:pPr>
    </w:p>
    <w:p w14:paraId="62E712A3" w14:textId="77777777" w:rsidR="00975607" w:rsidRPr="00577043" w:rsidRDefault="00975607" w:rsidP="00975607">
      <w:pPr>
        <w:rPr>
          <w:rFonts w:eastAsia="Times New Roman" w:cs="Times New Roman"/>
          <w:color w:val="000000"/>
          <w:lang w:eastAsia="da-DK"/>
        </w:rPr>
      </w:pPr>
      <w:r w:rsidRPr="00577043">
        <w:rPr>
          <w:rFonts w:eastAsia="Times New Roman" w:cs="Times New Roman"/>
          <w:color w:val="000000"/>
          <w:lang w:eastAsia="da-DK"/>
        </w:rPr>
        <w:t>Det må således lægges til grund, at lægen ved afgivelse af samtykke i et vist omfang har kendskab til forsøgets indhold, og at lægen på baggrund af sin fagkundskab vurderer det forsvarligt, at en forsøgsperson uden handleevne deltager i forskningsprojektet.</w:t>
      </w:r>
    </w:p>
    <w:p w14:paraId="55C2DFF7" w14:textId="77777777" w:rsidR="00975607" w:rsidRPr="00577043" w:rsidRDefault="00975607" w:rsidP="00975607">
      <w:pPr>
        <w:rPr>
          <w:rFonts w:eastAsia="Times New Roman" w:cs="Times New Roman"/>
          <w:color w:val="000000"/>
          <w:lang w:eastAsia="da-DK"/>
        </w:rPr>
      </w:pPr>
    </w:p>
    <w:p w14:paraId="3016DE06" w14:textId="77777777" w:rsidR="00975607" w:rsidRPr="00577043" w:rsidRDefault="00975607" w:rsidP="00975607">
      <w:pPr>
        <w:rPr>
          <w:rFonts w:eastAsia="Times New Roman" w:cs="Times New Roman"/>
          <w:color w:val="000000"/>
          <w:lang w:eastAsia="da-DK"/>
        </w:rPr>
      </w:pPr>
      <w:r w:rsidRPr="00577043">
        <w:rPr>
          <w:rFonts w:eastAsia="Times New Roman" w:cs="Times New Roman"/>
          <w:color w:val="000000"/>
          <w:lang w:eastAsia="da-DK"/>
        </w:rPr>
        <w:t>Der må ikke være personsammenfald mellem lægen, som udgør forsøgsværgen, og investigator</w:t>
      </w:r>
      <w:r>
        <w:rPr>
          <w:rFonts w:eastAsia="Times New Roman" w:cs="Times New Roman"/>
          <w:color w:val="000000"/>
          <w:lang w:eastAsia="da-DK"/>
        </w:rPr>
        <w:t xml:space="preserve"> (den </w:t>
      </w:r>
      <w:r w:rsidRPr="00577043">
        <w:rPr>
          <w:rFonts w:eastAsia="Times New Roman" w:cs="Times New Roman"/>
          <w:bCs/>
          <w:color w:val="000000"/>
          <w:lang w:eastAsia="da-DK"/>
        </w:rPr>
        <w:t>ansvarlig</w:t>
      </w:r>
      <w:r>
        <w:rPr>
          <w:rFonts w:eastAsia="Times New Roman" w:cs="Times New Roman"/>
          <w:bCs/>
          <w:color w:val="000000"/>
          <w:lang w:eastAsia="da-DK"/>
        </w:rPr>
        <w:t>e</w:t>
      </w:r>
      <w:r w:rsidRPr="00577043">
        <w:rPr>
          <w:rFonts w:eastAsia="Times New Roman" w:cs="Times New Roman"/>
          <w:bCs/>
          <w:color w:val="000000"/>
          <w:lang w:eastAsia="da-DK"/>
        </w:rPr>
        <w:t xml:space="preserve"> for den praktiske gennemførelse af fo</w:t>
      </w:r>
      <w:r>
        <w:rPr>
          <w:rFonts w:eastAsia="Times New Roman" w:cs="Times New Roman"/>
          <w:bCs/>
          <w:color w:val="000000"/>
          <w:lang w:eastAsia="da-DK"/>
        </w:rPr>
        <w:t>rsøget på et forsøgssted</w:t>
      </w:r>
      <w:r>
        <w:rPr>
          <w:rFonts w:eastAsia="Times New Roman" w:cs="Times New Roman"/>
          <w:color w:val="000000"/>
          <w:lang w:eastAsia="da-DK"/>
        </w:rPr>
        <w:t>)</w:t>
      </w:r>
      <w:r w:rsidRPr="00577043">
        <w:rPr>
          <w:rFonts w:eastAsia="Times New Roman" w:cs="Times New Roman"/>
          <w:color w:val="000000"/>
          <w:lang w:eastAsia="da-DK"/>
        </w:rPr>
        <w:t xml:space="preserve">, som ønsker forsøgspersonens deltagelse i et klinisk forsøg med lægemidler. Forsøgsværgen skal være uafhængig af investigators interesser og af interesser i det kliniske forsøg med lægemidler i øvrigt. </w:t>
      </w:r>
    </w:p>
    <w:p w14:paraId="7850571B" w14:textId="77777777" w:rsidR="00975607" w:rsidRPr="00577043" w:rsidRDefault="00975607" w:rsidP="00975607">
      <w:pPr>
        <w:rPr>
          <w:rFonts w:eastAsia="Times New Roman" w:cs="Times New Roman"/>
          <w:color w:val="000000"/>
          <w:lang w:eastAsia="da-DK"/>
        </w:rPr>
      </w:pPr>
    </w:p>
    <w:p w14:paraId="3D2A9939" w14:textId="77777777" w:rsidR="00975607" w:rsidRPr="00577043" w:rsidRDefault="00975607" w:rsidP="00975607">
      <w:pPr>
        <w:rPr>
          <w:rFonts w:eastAsia="Times New Roman" w:cs="Times New Roman"/>
          <w:color w:val="000000"/>
          <w:lang w:eastAsia="da-DK"/>
        </w:rPr>
      </w:pPr>
      <w:r w:rsidRPr="00577043">
        <w:rPr>
          <w:rFonts w:eastAsia="Times New Roman" w:cs="Times New Roman"/>
          <w:color w:val="000000"/>
          <w:lang w:eastAsia="da-DK"/>
        </w:rPr>
        <w:lastRenderedPageBreak/>
        <w:t xml:space="preserve">En uvildig læge må således hentes blandt en for forskningsprojektet »udenforstående« læge, der ikke tidligere har deltaget i eller fremover skal deltage i det forskningsprojekt, som forsøgspersonen ønskes inddraget i. Det bør endvidere undgås, at lægen befinder sig i et over-/underordnelsesforhold til investigator. </w:t>
      </w:r>
    </w:p>
    <w:p w14:paraId="264507A2" w14:textId="77777777" w:rsidR="00975607" w:rsidRPr="00577043" w:rsidRDefault="00975607" w:rsidP="00975607">
      <w:pPr>
        <w:rPr>
          <w:rFonts w:eastAsia="Times New Roman" w:cs="Times New Roman"/>
          <w:color w:val="000000"/>
          <w:lang w:eastAsia="da-DK"/>
        </w:rPr>
      </w:pPr>
    </w:p>
    <w:p w14:paraId="4142A938" w14:textId="77777777" w:rsidR="00975607" w:rsidRPr="00577043" w:rsidRDefault="00975607" w:rsidP="00975607">
      <w:pPr>
        <w:rPr>
          <w:rFonts w:eastAsia="Times New Roman" w:cs="Times New Roman"/>
          <w:iCs/>
          <w:color w:val="000000"/>
          <w:lang w:eastAsia="da-DK"/>
        </w:rPr>
      </w:pPr>
      <w:r w:rsidRPr="00577043">
        <w:rPr>
          <w:rFonts w:eastAsia="Times New Roman" w:cs="Times New Roman"/>
          <w:iCs/>
          <w:color w:val="000000"/>
          <w:lang w:eastAsia="da-DK"/>
        </w:rPr>
        <w:t xml:space="preserve">Med den foreslåede </w:t>
      </w:r>
      <w:r w:rsidRPr="00C75167">
        <w:rPr>
          <w:rFonts w:eastAsia="Times New Roman" w:cs="Times New Roman"/>
          <w:i/>
          <w:iCs/>
          <w:color w:val="000000"/>
          <w:lang w:eastAsia="da-DK"/>
        </w:rPr>
        <w:t xml:space="preserve">§ </w:t>
      </w:r>
      <w:r w:rsidR="00512DDB">
        <w:rPr>
          <w:rFonts w:eastAsia="Times New Roman" w:cs="Times New Roman"/>
          <w:i/>
          <w:iCs/>
          <w:color w:val="000000"/>
          <w:lang w:eastAsia="da-DK"/>
        </w:rPr>
        <w:t>2</w:t>
      </w:r>
      <w:r w:rsidRPr="00C75167">
        <w:rPr>
          <w:rFonts w:eastAsia="Times New Roman" w:cs="Times New Roman"/>
          <w:i/>
          <w:iCs/>
          <w:color w:val="000000"/>
          <w:lang w:eastAsia="da-DK"/>
        </w:rPr>
        <w:t>, stk. 4</w:t>
      </w:r>
      <w:r w:rsidRPr="00577043">
        <w:rPr>
          <w:rFonts w:eastAsia="Times New Roman" w:cs="Times New Roman"/>
          <w:iCs/>
          <w:color w:val="000000"/>
          <w:lang w:eastAsia="da-DK"/>
        </w:rPr>
        <w:t xml:space="preserve">, fastsættes, at et stedfortrædende samtykke skal være udtryk for forsøgspersonens interesse, svarende til komitélovens § 4, stk. 4. </w:t>
      </w:r>
    </w:p>
    <w:p w14:paraId="35629B3E" w14:textId="77777777" w:rsidR="00975607" w:rsidRPr="00577043" w:rsidRDefault="00975607" w:rsidP="00E96753">
      <w:pPr>
        <w:rPr>
          <w:rFonts w:eastAsia="Times New Roman" w:cs="Times New Roman"/>
          <w:iCs/>
          <w:color w:val="000000"/>
          <w:lang w:eastAsia="da-DK"/>
        </w:rPr>
      </w:pPr>
    </w:p>
    <w:p w14:paraId="22EA6175" w14:textId="77777777" w:rsidR="00436ADB" w:rsidRPr="00577043" w:rsidRDefault="00436ADB" w:rsidP="00436ADB">
      <w:pPr>
        <w:rPr>
          <w:rFonts w:eastAsia="Times New Roman" w:cs="Times New Roman"/>
          <w:iCs/>
          <w:color w:val="000000"/>
          <w:lang w:eastAsia="da-DK"/>
        </w:rPr>
      </w:pPr>
      <w:r>
        <w:rPr>
          <w:rFonts w:eastAsia="Times New Roman" w:cs="Times New Roman"/>
          <w:iCs/>
          <w:color w:val="000000"/>
          <w:lang w:eastAsia="da-DK"/>
        </w:rPr>
        <w:t>Ved samtykke forstås et samtykke efter reglerne i persondataloven. persondatalovens § 3, nr. 8, skal således være opfyldt.</w:t>
      </w:r>
    </w:p>
    <w:p w14:paraId="14A9875E" w14:textId="77777777" w:rsidR="00436ADB" w:rsidRDefault="00436ADB" w:rsidP="00E96753">
      <w:pPr>
        <w:rPr>
          <w:rFonts w:eastAsia="Times New Roman" w:cs="Times New Roman"/>
          <w:iCs/>
          <w:color w:val="000000"/>
          <w:lang w:eastAsia="da-DK"/>
        </w:rPr>
      </w:pPr>
    </w:p>
    <w:p w14:paraId="46BAEE06" w14:textId="77777777" w:rsidR="002F7C7D" w:rsidRPr="00577043" w:rsidRDefault="00BB1B2F" w:rsidP="00E96753">
      <w:pPr>
        <w:rPr>
          <w:rFonts w:eastAsia="Times New Roman" w:cs="Times New Roman"/>
          <w:iCs/>
          <w:color w:val="000000"/>
          <w:lang w:eastAsia="da-DK"/>
        </w:rPr>
      </w:pPr>
      <w:r w:rsidRPr="00577043">
        <w:rPr>
          <w:rFonts w:eastAsia="Times New Roman" w:cs="Times New Roman"/>
          <w:iCs/>
          <w:color w:val="000000"/>
          <w:lang w:eastAsia="da-DK"/>
        </w:rPr>
        <w:t>Der henvises i øvrigt til</w:t>
      </w:r>
      <w:r w:rsidR="002F7C7D" w:rsidRPr="00577043">
        <w:rPr>
          <w:rFonts w:eastAsia="Times New Roman" w:cs="Times New Roman"/>
          <w:iCs/>
          <w:color w:val="000000"/>
          <w:lang w:eastAsia="da-DK"/>
        </w:rPr>
        <w:t xml:space="preserve"> afsnit 2.</w:t>
      </w:r>
      <w:r w:rsidR="00593EC5" w:rsidRPr="00577043">
        <w:rPr>
          <w:rFonts w:eastAsia="Times New Roman" w:cs="Times New Roman"/>
          <w:iCs/>
          <w:color w:val="000000"/>
          <w:lang w:eastAsia="da-DK"/>
        </w:rPr>
        <w:t>2.2.</w:t>
      </w:r>
      <w:r w:rsidR="002F7C7D" w:rsidRPr="00577043">
        <w:rPr>
          <w:rFonts w:eastAsia="Times New Roman" w:cs="Times New Roman"/>
          <w:iCs/>
          <w:color w:val="000000"/>
          <w:lang w:eastAsia="da-DK"/>
        </w:rPr>
        <w:t xml:space="preserve"> i de almindelige bemærkninger.</w:t>
      </w:r>
    </w:p>
    <w:p w14:paraId="0C4A43F5" w14:textId="77777777" w:rsidR="00190283" w:rsidRPr="00577043" w:rsidRDefault="00190283" w:rsidP="00190283">
      <w:pPr>
        <w:keepNext/>
        <w:rPr>
          <w:rFonts w:eastAsia="Times New Roman" w:cs="Times New Roman"/>
          <w:iCs/>
          <w:color w:val="000000"/>
          <w:lang w:eastAsia="da-DK"/>
        </w:rPr>
      </w:pPr>
    </w:p>
    <w:p w14:paraId="181DD770" w14:textId="77777777" w:rsidR="004A3317" w:rsidRPr="00577043" w:rsidRDefault="004A3317" w:rsidP="004A3317">
      <w:pPr>
        <w:pStyle w:val="Overskrift2"/>
        <w:jc w:val="left"/>
        <w:rPr>
          <w:rFonts w:cs="Times New Roman"/>
          <w:lang w:eastAsia="da-DK"/>
        </w:rPr>
      </w:pPr>
      <w:r w:rsidRPr="00577043">
        <w:rPr>
          <w:rFonts w:eastAsia="Times New Roman" w:cs="Times New Roman"/>
          <w:iCs/>
          <w:lang w:eastAsia="da-DK"/>
        </w:rPr>
        <w:t xml:space="preserve">Til § </w:t>
      </w:r>
      <w:r w:rsidR="00512DDB">
        <w:rPr>
          <w:rFonts w:eastAsia="Times New Roman" w:cs="Times New Roman"/>
          <w:iCs/>
          <w:lang w:eastAsia="da-DK"/>
        </w:rPr>
        <w:t>3</w:t>
      </w:r>
      <w:r w:rsidRPr="00577043">
        <w:rPr>
          <w:rFonts w:eastAsia="Times New Roman" w:cs="Times New Roman"/>
          <w:iCs/>
          <w:lang w:eastAsia="da-DK"/>
        </w:rPr>
        <w:t xml:space="preserve"> [</w:t>
      </w:r>
      <w:r w:rsidR="00E32687" w:rsidRPr="00577043">
        <w:rPr>
          <w:rFonts w:eastAsia="Times New Roman" w:cs="Times New Roman"/>
          <w:iCs/>
          <w:lang w:eastAsia="da-DK"/>
        </w:rPr>
        <w:t>samtykke 15-18 årige</w:t>
      </w:r>
      <w:r w:rsidRPr="00577043">
        <w:rPr>
          <w:rFonts w:eastAsia="Times New Roman" w:cs="Times New Roman"/>
          <w:iCs/>
          <w:lang w:eastAsia="da-DK"/>
        </w:rPr>
        <w:t xml:space="preserve">] </w:t>
      </w:r>
    </w:p>
    <w:p w14:paraId="4BDE9776" w14:textId="77777777" w:rsidR="004A3317" w:rsidRPr="00577043" w:rsidRDefault="004A3317" w:rsidP="004A3317">
      <w:pPr>
        <w:rPr>
          <w:rFonts w:eastAsia="Times New Roman" w:cs="Times New Roman"/>
          <w:iCs/>
          <w:color w:val="000000"/>
          <w:lang w:eastAsia="da-DK"/>
        </w:rPr>
      </w:pPr>
      <w:r w:rsidRPr="00577043">
        <w:rPr>
          <w:rFonts w:eastAsia="Times New Roman" w:cs="Times New Roman"/>
          <w:iCs/>
          <w:color w:val="000000"/>
          <w:lang w:eastAsia="da-DK"/>
        </w:rPr>
        <w:t>Det foreslås med</w:t>
      </w:r>
      <w:r w:rsidR="00D26096" w:rsidRPr="00577043">
        <w:rPr>
          <w:rFonts w:eastAsia="Times New Roman" w:cs="Times New Roman"/>
          <w:iCs/>
          <w:color w:val="000000"/>
          <w:lang w:eastAsia="da-DK"/>
        </w:rPr>
        <w:t xml:space="preserve"> ændringen af</w:t>
      </w:r>
      <w:r w:rsidRPr="00577043">
        <w:rPr>
          <w:rFonts w:eastAsia="Times New Roman" w:cs="Times New Roman"/>
          <w:iCs/>
          <w:color w:val="000000"/>
          <w:lang w:eastAsia="da-DK"/>
        </w:rPr>
        <w:t xml:space="preserve"> </w:t>
      </w:r>
      <w:r w:rsidR="004C3545">
        <w:rPr>
          <w:rFonts w:eastAsia="Times New Roman" w:cs="Times New Roman"/>
          <w:i/>
          <w:iCs/>
          <w:color w:val="000000"/>
          <w:lang w:eastAsia="da-DK"/>
        </w:rPr>
        <w:t>§ 3</w:t>
      </w:r>
      <w:r w:rsidR="00D26096" w:rsidRPr="00C75167">
        <w:rPr>
          <w:rFonts w:eastAsia="Times New Roman" w:cs="Times New Roman"/>
          <w:i/>
          <w:iCs/>
          <w:color w:val="000000"/>
          <w:lang w:eastAsia="da-DK"/>
        </w:rPr>
        <w:t>, stk. 1</w:t>
      </w:r>
      <w:r w:rsidR="00D26096" w:rsidRPr="00577043">
        <w:rPr>
          <w:rFonts w:eastAsia="Times New Roman" w:cs="Times New Roman"/>
          <w:iCs/>
          <w:color w:val="000000"/>
          <w:lang w:eastAsia="da-DK"/>
        </w:rPr>
        <w:t xml:space="preserve">, og den foreslåede </w:t>
      </w:r>
      <w:r w:rsidR="004C3545">
        <w:rPr>
          <w:rFonts w:eastAsia="Times New Roman" w:cs="Times New Roman"/>
          <w:iCs/>
          <w:color w:val="000000"/>
          <w:lang w:eastAsia="da-DK"/>
        </w:rPr>
        <w:t>§ 3</w:t>
      </w:r>
      <w:r w:rsidR="00D26096" w:rsidRPr="00577043">
        <w:rPr>
          <w:rFonts w:eastAsia="Times New Roman" w:cs="Times New Roman"/>
          <w:iCs/>
          <w:color w:val="000000"/>
          <w:lang w:eastAsia="da-DK"/>
        </w:rPr>
        <w:t xml:space="preserve"> a</w:t>
      </w:r>
      <w:r w:rsidRPr="00577043">
        <w:rPr>
          <w:rFonts w:eastAsia="Times New Roman" w:cs="Times New Roman"/>
          <w:iCs/>
          <w:color w:val="000000"/>
          <w:lang w:eastAsia="da-DK"/>
        </w:rPr>
        <w:t xml:space="preserve">, at et klinisk forsøg kun må gennemføres på en forsøgsperson, der er fyldt 15 år, men ikke er myndig, </w:t>
      </w:r>
      <w:r w:rsidR="00593EC5" w:rsidRPr="00577043">
        <w:rPr>
          <w:rFonts w:eastAsia="Times New Roman" w:cs="Times New Roman"/>
          <w:iCs/>
          <w:color w:val="000000"/>
          <w:lang w:eastAsia="da-DK"/>
        </w:rPr>
        <w:t>hvis</w:t>
      </w:r>
      <w:r w:rsidRPr="00577043">
        <w:rPr>
          <w:rFonts w:eastAsia="Times New Roman" w:cs="Times New Roman"/>
          <w:iCs/>
          <w:color w:val="000000"/>
          <w:lang w:eastAsia="da-DK"/>
        </w:rPr>
        <w:t xml:space="preserve"> forsøgspersonen tillige med forældremyndighedens indehaver giver samtykke hertil.</w:t>
      </w:r>
    </w:p>
    <w:p w14:paraId="3565776A" w14:textId="77777777" w:rsidR="004A3317" w:rsidRDefault="004A3317" w:rsidP="00190283">
      <w:pPr>
        <w:keepNext/>
        <w:rPr>
          <w:rFonts w:eastAsia="Times New Roman" w:cs="Times New Roman"/>
          <w:iCs/>
          <w:color w:val="000000"/>
          <w:lang w:eastAsia="da-DK"/>
        </w:rPr>
      </w:pPr>
    </w:p>
    <w:p w14:paraId="10A2E66B" w14:textId="77777777" w:rsidR="00491288" w:rsidRDefault="00491288" w:rsidP="00491288">
      <w:pPr>
        <w:keepNext/>
        <w:rPr>
          <w:rFonts w:eastAsia="Times New Roman" w:cs="Times New Roman"/>
          <w:iCs/>
          <w:color w:val="000000"/>
          <w:lang w:eastAsia="da-DK"/>
        </w:rPr>
      </w:pPr>
      <w:r>
        <w:rPr>
          <w:rFonts w:eastAsia="Times New Roman" w:cs="Times New Roman"/>
          <w:iCs/>
          <w:color w:val="000000"/>
          <w:lang w:eastAsia="da-DK"/>
        </w:rPr>
        <w:t>Ved samtykke forstås et samtykke efter reglerne i persondataloven. Persondatalovens § 3, nr. 8, skal således være opfyldt.</w:t>
      </w:r>
    </w:p>
    <w:p w14:paraId="546E403B" w14:textId="77777777" w:rsidR="00491288" w:rsidRPr="00577043" w:rsidRDefault="00491288" w:rsidP="00190283">
      <w:pPr>
        <w:keepNext/>
        <w:rPr>
          <w:rFonts w:eastAsia="Times New Roman" w:cs="Times New Roman"/>
          <w:iCs/>
          <w:color w:val="000000"/>
          <w:lang w:eastAsia="da-DK"/>
        </w:rPr>
      </w:pPr>
    </w:p>
    <w:p w14:paraId="24A2FB77" w14:textId="77777777" w:rsidR="004266E4" w:rsidRPr="00577043" w:rsidRDefault="004266E4" w:rsidP="00190283">
      <w:pPr>
        <w:keepNext/>
        <w:rPr>
          <w:rFonts w:eastAsia="Times New Roman" w:cs="Times New Roman"/>
          <w:iCs/>
          <w:color w:val="000000"/>
          <w:lang w:eastAsia="da-DK"/>
        </w:rPr>
      </w:pPr>
      <w:r w:rsidRPr="00577043">
        <w:rPr>
          <w:rFonts w:eastAsia="Times New Roman" w:cs="Times New Roman"/>
          <w:iCs/>
          <w:color w:val="000000"/>
          <w:lang w:eastAsia="da-DK"/>
        </w:rPr>
        <w:t>Der henvises i øvrigt til afsnit 2.5.2.</w:t>
      </w:r>
      <w:r w:rsidR="00593EC5" w:rsidRPr="00577043">
        <w:rPr>
          <w:rFonts w:eastAsia="Times New Roman" w:cs="Times New Roman"/>
          <w:iCs/>
          <w:color w:val="000000"/>
          <w:lang w:eastAsia="da-DK"/>
        </w:rPr>
        <w:t>2</w:t>
      </w:r>
      <w:r w:rsidRPr="00577043">
        <w:rPr>
          <w:rFonts w:eastAsia="Times New Roman" w:cs="Times New Roman"/>
          <w:iCs/>
          <w:color w:val="000000"/>
          <w:lang w:eastAsia="da-DK"/>
        </w:rPr>
        <w:t>. i de almindelige bemærkninger.</w:t>
      </w:r>
    </w:p>
    <w:p w14:paraId="1B95CA84" w14:textId="77777777" w:rsidR="000E3D4E" w:rsidRPr="00577043" w:rsidRDefault="000E3D4E" w:rsidP="00CB2276">
      <w:pPr>
        <w:rPr>
          <w:rFonts w:eastAsia="Times New Roman" w:cs="Times New Roman"/>
          <w:color w:val="000000"/>
          <w:lang w:eastAsia="da-DK"/>
        </w:rPr>
      </w:pPr>
    </w:p>
    <w:p w14:paraId="5C86EBF7" w14:textId="77777777" w:rsidR="00AC7764" w:rsidRPr="00577043" w:rsidRDefault="00612DFF" w:rsidP="00AC7764">
      <w:pPr>
        <w:pStyle w:val="Overskrift2"/>
        <w:jc w:val="left"/>
        <w:rPr>
          <w:rFonts w:eastAsia="Times New Roman" w:cs="Times New Roman"/>
          <w:iCs/>
          <w:lang w:eastAsia="da-DK"/>
        </w:rPr>
      </w:pPr>
      <w:r>
        <w:rPr>
          <w:rFonts w:eastAsia="Times New Roman" w:cs="Times New Roman"/>
          <w:iCs/>
          <w:lang w:eastAsia="da-DK"/>
        </w:rPr>
        <w:t>Til § 4. [</w:t>
      </w:r>
      <w:r w:rsidR="00616720">
        <w:rPr>
          <w:rFonts w:eastAsia="Times New Roman" w:cs="Times New Roman"/>
          <w:iCs/>
          <w:lang w:eastAsia="da-DK"/>
        </w:rPr>
        <w:t>Information og s</w:t>
      </w:r>
      <w:r w:rsidR="00AC7764" w:rsidRPr="00577043">
        <w:rPr>
          <w:rFonts w:eastAsia="Times New Roman" w:cs="Times New Roman"/>
          <w:iCs/>
          <w:lang w:eastAsia="da-DK"/>
        </w:rPr>
        <w:t>amtykke</w:t>
      </w:r>
      <w:r w:rsidR="006B1815" w:rsidRPr="00577043">
        <w:rPr>
          <w:rFonts w:eastAsia="Times New Roman" w:cs="Times New Roman"/>
          <w:iCs/>
          <w:lang w:eastAsia="da-DK"/>
        </w:rPr>
        <w:t>s form</w:t>
      </w:r>
      <w:r w:rsidR="00AC7764" w:rsidRPr="00577043">
        <w:rPr>
          <w:rFonts w:eastAsia="Times New Roman" w:cs="Times New Roman"/>
          <w:iCs/>
          <w:lang w:eastAsia="da-DK"/>
        </w:rPr>
        <w:t xml:space="preserve">] </w:t>
      </w:r>
    </w:p>
    <w:p w14:paraId="3F173D8B" w14:textId="77777777" w:rsidR="00CE4AA9" w:rsidRDefault="00CE4AA9" w:rsidP="0079161D">
      <w:r>
        <w:t xml:space="preserve">Det foreslås med </w:t>
      </w:r>
      <w:r w:rsidRPr="00C75167">
        <w:rPr>
          <w:i/>
        </w:rPr>
        <w:t>§ 4</w:t>
      </w:r>
      <w:r w:rsidR="0079161D" w:rsidRPr="00C75167">
        <w:rPr>
          <w:i/>
        </w:rPr>
        <w:t xml:space="preserve">, </w:t>
      </w:r>
      <w:r w:rsidR="00A2641A" w:rsidRPr="00C75167">
        <w:rPr>
          <w:i/>
        </w:rPr>
        <w:t>stk. 1</w:t>
      </w:r>
      <w:r w:rsidR="00A2641A">
        <w:t xml:space="preserve">, </w:t>
      </w:r>
      <w:r w:rsidR="0079161D" w:rsidRPr="00577043">
        <w:t xml:space="preserve">at </w:t>
      </w:r>
      <w:r w:rsidR="00C26429">
        <w:t>k</w:t>
      </w:r>
      <w:r w:rsidR="00C26429">
        <w:rPr>
          <w:rFonts w:eastAsia="Times New Roman" w:cs="Times New Roman"/>
          <w:color w:val="000000"/>
          <w:lang w:eastAsia="da-DK"/>
        </w:rPr>
        <w:t>ravet om en underskrift efter forordningens artikel 29</w:t>
      </w:r>
      <w:r w:rsidR="00097171">
        <w:rPr>
          <w:rFonts w:eastAsia="Times New Roman" w:cs="Times New Roman"/>
          <w:color w:val="000000"/>
          <w:lang w:eastAsia="da-DK"/>
        </w:rPr>
        <w:t>, stk. 1,</w:t>
      </w:r>
      <w:r w:rsidR="00C26429">
        <w:rPr>
          <w:rFonts w:eastAsia="Times New Roman" w:cs="Times New Roman"/>
          <w:color w:val="000000"/>
          <w:lang w:eastAsia="da-DK"/>
        </w:rPr>
        <w:t xml:space="preserve"> kan opfyldes ved anvendelse af en teknik, der sikrer entydig identifikation af den person, som skal underskrive dokumentet</w:t>
      </w:r>
      <w:r w:rsidR="0079161D" w:rsidRPr="00577043">
        <w:t xml:space="preserve">. Dette gælder både den underskrift, som </w:t>
      </w:r>
      <w:r w:rsidR="00C26429">
        <w:t xml:space="preserve">skal </w:t>
      </w:r>
      <w:r w:rsidR="0079161D" w:rsidRPr="00577043">
        <w:t>afgives af den person, der gennemfører interviewet forud for samtykket og forsøgspersonen eller dennes retligt udpegede repræsentant samt vidner i overensstemmelse med art</w:t>
      </w:r>
      <w:r w:rsidR="00A10484" w:rsidRPr="00A10484">
        <w:rPr>
          <w:rFonts w:eastAsia="Times New Roman" w:cs="Times New Roman"/>
          <w:bCs/>
          <w:color w:val="000000"/>
          <w:lang w:eastAsia="da-DK"/>
        </w:rPr>
        <w:t xml:space="preserve"> </w:t>
      </w:r>
      <w:r w:rsidR="00A10484" w:rsidRPr="00577043">
        <w:rPr>
          <w:rFonts w:eastAsia="Times New Roman" w:cs="Times New Roman"/>
          <w:bCs/>
          <w:color w:val="000000"/>
          <w:lang w:eastAsia="da-DK"/>
        </w:rPr>
        <w:t>art</w:t>
      </w:r>
      <w:r w:rsidR="00A10484">
        <w:rPr>
          <w:rFonts w:eastAsia="Times New Roman" w:cs="Times New Roman"/>
          <w:bCs/>
          <w:color w:val="000000"/>
          <w:lang w:eastAsia="da-DK"/>
        </w:rPr>
        <w:t>ikel</w:t>
      </w:r>
      <w:r w:rsidR="0079161D" w:rsidRPr="00577043">
        <w:t xml:space="preserve"> 29</w:t>
      </w:r>
      <w:r>
        <w:t xml:space="preserve">, stk.1. </w:t>
      </w:r>
    </w:p>
    <w:p w14:paraId="79A0DD07" w14:textId="77777777" w:rsidR="00CE4AA9" w:rsidRDefault="00CE4AA9" w:rsidP="0079161D"/>
    <w:p w14:paraId="2B4C4616" w14:textId="77777777" w:rsidR="0079161D" w:rsidRPr="000E0F62" w:rsidRDefault="00CE4AA9" w:rsidP="0079161D">
      <w:pPr>
        <w:rPr>
          <w:b/>
          <w:bCs/>
        </w:rPr>
      </w:pPr>
      <w:r>
        <w:t xml:space="preserve">Det foreslås </w:t>
      </w:r>
      <w:r w:rsidR="00352139">
        <w:t xml:space="preserve">endvidere </w:t>
      </w:r>
      <w:r>
        <w:t xml:space="preserve">med </w:t>
      </w:r>
      <w:r w:rsidRPr="009B13C4">
        <w:rPr>
          <w:i/>
        </w:rPr>
        <w:t>§ 4</w:t>
      </w:r>
      <w:r w:rsidR="0079161D" w:rsidRPr="009B13C4">
        <w:rPr>
          <w:i/>
        </w:rPr>
        <w:t>, stk. 2</w:t>
      </w:r>
      <w:r w:rsidR="0079161D" w:rsidRPr="00577043">
        <w:t xml:space="preserve">, at </w:t>
      </w:r>
      <w:r w:rsidR="0079161D" w:rsidRPr="00577043">
        <w:rPr>
          <w:rFonts w:eastAsia="Times New Roman" w:cs="Times New Roman"/>
          <w:color w:val="000000"/>
          <w:lang w:eastAsia="da-DK"/>
        </w:rPr>
        <w:t xml:space="preserve">sundheds- og ældreministeren kan fastsætte nærmere regler om indholdet af deltagerinformationen og krav til underskrifter. Det foreslås i den forbindelse bl.a. at fastsætte, </w:t>
      </w:r>
      <w:r w:rsidR="004C57F7">
        <w:rPr>
          <w:rFonts w:eastAsia="Times New Roman" w:cs="Times New Roman"/>
          <w:color w:val="000000"/>
          <w:lang w:eastAsia="da-DK"/>
        </w:rPr>
        <w:t xml:space="preserve">at kravet om en underskrift kan opfyldes ved </w:t>
      </w:r>
      <w:r w:rsidR="004C57F7" w:rsidRPr="00577043">
        <w:t>en håndskrevet underskrift eller</w:t>
      </w:r>
      <w:r w:rsidR="004C57F7">
        <w:t xml:space="preserve"> ved anvendelse af en teknik, der sikrer entydig identifikation af underskriveren, fx </w:t>
      </w:r>
      <w:r w:rsidR="004C57F7" w:rsidRPr="00577043">
        <w:t>en elektronisk meddelt signatur, herunder meddelt sammen med brug af digital signatur.</w:t>
      </w:r>
      <w:r w:rsidR="004C57F7">
        <w:t xml:space="preserve"> E</w:t>
      </w:r>
      <w:r w:rsidR="0079161D" w:rsidRPr="00577043">
        <w:rPr>
          <w:rFonts w:eastAsia="Times New Roman" w:cs="Times New Roman"/>
          <w:color w:val="000000"/>
          <w:lang w:eastAsia="da-DK"/>
        </w:rPr>
        <w:t xml:space="preserve">n underskrift kan </w:t>
      </w:r>
      <w:r w:rsidR="004C57F7">
        <w:rPr>
          <w:rFonts w:eastAsia="Times New Roman" w:cs="Times New Roman"/>
          <w:color w:val="000000"/>
          <w:lang w:eastAsia="da-DK"/>
        </w:rPr>
        <w:t xml:space="preserve">således </w:t>
      </w:r>
      <w:r w:rsidR="0079161D" w:rsidRPr="00577043">
        <w:rPr>
          <w:rFonts w:eastAsia="Times New Roman" w:cs="Times New Roman"/>
          <w:color w:val="000000"/>
          <w:lang w:eastAsia="da-DK"/>
        </w:rPr>
        <w:t>afgives på såvel et papirdokument som på en pc, tablet-pc eller tilsvarende.</w:t>
      </w:r>
      <w:r w:rsidR="004C57F7">
        <w:rPr>
          <w:rFonts w:eastAsia="Times New Roman" w:cs="Times New Roman"/>
          <w:color w:val="000000"/>
          <w:lang w:eastAsia="da-DK"/>
        </w:rPr>
        <w:t xml:space="preserve"> </w:t>
      </w:r>
    </w:p>
    <w:p w14:paraId="28298D3D" w14:textId="77777777" w:rsidR="0079161D" w:rsidRPr="00577043" w:rsidRDefault="0079161D" w:rsidP="0079161D"/>
    <w:p w14:paraId="5D1C2F6E" w14:textId="77777777" w:rsidR="00AC7764" w:rsidRPr="00577043" w:rsidRDefault="00AC7764" w:rsidP="00AC7764">
      <w:r w:rsidRPr="00577043">
        <w:t xml:space="preserve">I forordningens </w:t>
      </w:r>
      <w:r w:rsidR="00A10484" w:rsidRPr="00577043">
        <w:rPr>
          <w:rFonts w:eastAsia="Times New Roman" w:cs="Times New Roman"/>
          <w:bCs/>
          <w:color w:val="000000"/>
          <w:lang w:eastAsia="da-DK"/>
        </w:rPr>
        <w:t>art</w:t>
      </w:r>
      <w:r w:rsidR="00A10484">
        <w:rPr>
          <w:rFonts w:eastAsia="Times New Roman" w:cs="Times New Roman"/>
          <w:bCs/>
          <w:color w:val="000000"/>
          <w:lang w:eastAsia="da-DK"/>
        </w:rPr>
        <w:t>ikel</w:t>
      </w:r>
      <w:r w:rsidRPr="00577043">
        <w:t xml:space="preserve"> 29</w:t>
      </w:r>
      <w:r w:rsidR="0096707B" w:rsidRPr="00577043">
        <w:t xml:space="preserve">, stk. 2, </w:t>
      </w:r>
      <w:r w:rsidRPr="00577043">
        <w:t xml:space="preserve">er det fastsat, at et informeret samtykke skal være skriftligt, dateret og underskrevet af den person, der gennemfører det forudgående interview, og af forsøgspersonen eller, hvis forsøgspersonen ikke kan give et informeret samtykke, dennes retligt udpegede repræsentant efter at være blevet behørigt informeret i overensstemmelse med forordningens </w:t>
      </w:r>
      <w:r w:rsidR="00A10484" w:rsidRPr="00577043">
        <w:rPr>
          <w:rFonts w:eastAsia="Times New Roman" w:cs="Times New Roman"/>
          <w:bCs/>
          <w:color w:val="000000"/>
          <w:lang w:eastAsia="da-DK"/>
        </w:rPr>
        <w:t>art</w:t>
      </w:r>
      <w:r w:rsidR="00A10484">
        <w:rPr>
          <w:rFonts w:eastAsia="Times New Roman" w:cs="Times New Roman"/>
          <w:bCs/>
          <w:color w:val="000000"/>
          <w:lang w:eastAsia="da-DK"/>
        </w:rPr>
        <w:t>ikel</w:t>
      </w:r>
      <w:r w:rsidRPr="00577043">
        <w:t xml:space="preserve"> 29, stk. 2. Hvis forsøgspersonen ikke kan skrive, kan samtykket afgives og registreres ved hjælp af passende alternative midler i nærværendelse af mindst ét upartisk vidne. </w:t>
      </w:r>
      <w:r w:rsidR="006F232C" w:rsidRPr="00577043">
        <w:t>Det fremgår af betragtning nr. 30 i forordningen, at passende alternative midler fx kan være lyd- eller videooptagere</w:t>
      </w:r>
      <w:r w:rsidR="00954538" w:rsidRPr="00577043">
        <w:t>.</w:t>
      </w:r>
      <w:r w:rsidR="006F232C" w:rsidRPr="00577043">
        <w:t xml:space="preserve"> </w:t>
      </w:r>
      <w:r w:rsidRPr="00577043">
        <w:t>I sådanne tilfælde underskriver og daterer vidnet det dokument, ved hvilket der er givet informeret samtykke.</w:t>
      </w:r>
      <w:r w:rsidR="00032541" w:rsidRPr="00577043">
        <w:t xml:space="preserve"> Der er ikke fastsat nærmere bestemmelser i forordningen om den tekniske gennemførelse af underskriften.</w:t>
      </w:r>
    </w:p>
    <w:p w14:paraId="1D5479BC" w14:textId="77777777" w:rsidR="00AC7764" w:rsidRPr="00577043" w:rsidRDefault="00AC7764" w:rsidP="00AC7764"/>
    <w:p w14:paraId="4CCEF4EB" w14:textId="77777777" w:rsidR="00BD05FB" w:rsidRPr="00577043" w:rsidRDefault="009E46AB" w:rsidP="00AC7764">
      <w:r w:rsidRPr="00577043">
        <w:t xml:space="preserve">Det er </w:t>
      </w:r>
      <w:r w:rsidR="00884E96" w:rsidRPr="00577043">
        <w:t>fastsat i komitélovens</w:t>
      </w:r>
      <w:r w:rsidRPr="00577043">
        <w:t xml:space="preserve"> § </w:t>
      </w:r>
      <w:r w:rsidR="001227A6">
        <w:t xml:space="preserve">2, stk. 1, nr. </w:t>
      </w:r>
      <w:r w:rsidRPr="00577043">
        <w:t>10</w:t>
      </w:r>
      <w:r w:rsidR="002D45ED" w:rsidRPr="00577043">
        <w:t>,</w:t>
      </w:r>
      <w:r w:rsidRPr="00577043">
        <w:t xml:space="preserve"> </w:t>
      </w:r>
      <w:r w:rsidR="00BD05FB" w:rsidRPr="00577043">
        <w:t xml:space="preserve">at </w:t>
      </w:r>
      <w:r w:rsidR="00884E96" w:rsidRPr="00577043">
        <w:t>e</w:t>
      </w:r>
      <w:r w:rsidR="005142D8" w:rsidRPr="00577043">
        <w:t xml:space="preserve">t informeret samtykke </w:t>
      </w:r>
      <w:r w:rsidR="001227A6">
        <w:t>er en beslutning, som er meddelt</w:t>
      </w:r>
      <w:r w:rsidR="00884E96" w:rsidRPr="00577043">
        <w:t xml:space="preserve"> skriftligt, dateret og underskrevet eller meddeles elektronisk sammen med brug af digital signatur. Af bemærkningerne til lovforslag nr. L 169 fremgår, at der ved digital signatur forstås en digital signatur med et sikkerhedsniveau svarende til OCES-standarden eller højere, dvs. herunder den danske digitale signatur (NemID) og digitale signaturer udstedt i henhold til Europa-Parlamentets og Rådets direktiv 1999/93/EF af 13. december 1999 om fællesskabsramme for elektroniske signaturer.</w:t>
      </w:r>
      <w:r w:rsidR="007A0567" w:rsidRPr="00577043">
        <w:t xml:space="preserve"> </w:t>
      </w:r>
      <w:r w:rsidR="001227A6">
        <w:t xml:space="preserve">I informationsbekendtgørelsen er det </w:t>
      </w:r>
      <w:r w:rsidR="001227A6">
        <w:lastRenderedPageBreak/>
        <w:t>fastsat i 11, stk. stk. 2, at et informeret samtykke skal være skriftlig, dateret og underskrevet eller afgivet ved brug af elektronisk signatur.</w:t>
      </w:r>
    </w:p>
    <w:p w14:paraId="3A96AA1F" w14:textId="77777777" w:rsidR="00BD05FB" w:rsidRPr="00577043" w:rsidRDefault="00BD05FB" w:rsidP="00AC7764"/>
    <w:p w14:paraId="41093D6E" w14:textId="77777777" w:rsidR="0096707B" w:rsidRPr="00577043" w:rsidRDefault="00D02971" w:rsidP="006F56CD">
      <w:r w:rsidRPr="00577043">
        <w:t xml:space="preserve">Det fremgår af en </w:t>
      </w:r>
      <w:r w:rsidR="006F56CD" w:rsidRPr="00577043">
        <w:t xml:space="preserve">betænkning nr. 1456 fra 2004 </w:t>
      </w:r>
      <w:r w:rsidR="00574B02">
        <w:t>om</w:t>
      </w:r>
      <w:r w:rsidR="006F56CD" w:rsidRPr="00577043">
        <w:t xml:space="preserve"> e-signaturs retsvirkning udarbejdet af et udvalg nedsat a</w:t>
      </w:r>
      <w:r w:rsidR="0096707B" w:rsidRPr="00577043">
        <w:t>f</w:t>
      </w:r>
      <w:r w:rsidR="006F56CD" w:rsidRPr="00577043">
        <w:t xml:space="preserve"> </w:t>
      </w:r>
      <w:r w:rsidR="00534EE7" w:rsidRPr="00577043">
        <w:t>Justitsministeriet i 200</w:t>
      </w:r>
      <w:r w:rsidR="006F56CD" w:rsidRPr="00577043">
        <w:t>4</w:t>
      </w:r>
      <w:r w:rsidR="00B552AD" w:rsidRPr="00577043">
        <w:t xml:space="preserve">, </w:t>
      </w:r>
      <w:r w:rsidR="006F56CD" w:rsidRPr="00577043">
        <w:t xml:space="preserve">at </w:t>
      </w:r>
      <w:r w:rsidR="00321570" w:rsidRPr="00577043">
        <w:t>”E</w:t>
      </w:r>
      <w:r w:rsidR="006F56CD" w:rsidRPr="00577043">
        <w:t>n elektronisk signatur kan sammenlignes med en traditionel underskrift. Underskriften har til formål at vise og bevise,</w:t>
      </w:r>
      <w:r w:rsidR="003E4482" w:rsidRPr="00577043">
        <w:t xml:space="preserve"> </w:t>
      </w:r>
      <w:r w:rsidR="006F56CD" w:rsidRPr="00577043">
        <w:t>hvem der er udsteder af et dokument. Tilsvarende har en elektronisk signatur til formål at vise og bevise, hvem</w:t>
      </w:r>
      <w:r w:rsidR="003E4482" w:rsidRPr="00577043">
        <w:t xml:space="preserve"> </w:t>
      </w:r>
      <w:r w:rsidR="006F56CD" w:rsidRPr="00577043">
        <w:t>der er afsender af en elektronisk meddelelse.</w:t>
      </w:r>
      <w:r w:rsidR="003E4482" w:rsidRPr="00577043">
        <w:t xml:space="preserve">” (s. 41). </w:t>
      </w:r>
      <w:r w:rsidR="00CE4AA9">
        <w:t>Det fremgår desuden</w:t>
      </w:r>
      <w:r w:rsidR="0096707B" w:rsidRPr="00577043">
        <w:t>, at begrebet digitale signaturer er en delmængde af de elektroniske signaturer, men at det ofte vil være af mindre væsentlig betydning, hvilken betegnelse der anvendes (s. 17).</w:t>
      </w:r>
    </w:p>
    <w:p w14:paraId="1A867A75" w14:textId="77777777" w:rsidR="0096707B" w:rsidRPr="00577043" w:rsidRDefault="0096707B" w:rsidP="006F56CD"/>
    <w:p w14:paraId="341497A5" w14:textId="77777777" w:rsidR="006F56CD" w:rsidRPr="00577043" w:rsidRDefault="003E4482" w:rsidP="006F56CD">
      <w:r w:rsidRPr="00577043">
        <w:t xml:space="preserve">Det fremgår </w:t>
      </w:r>
      <w:r w:rsidR="00CE4AA9">
        <w:t>endvidere</w:t>
      </w:r>
      <w:r w:rsidR="0096707B" w:rsidRPr="00577043">
        <w:t xml:space="preserve"> </w:t>
      </w:r>
      <w:r w:rsidRPr="00577043">
        <w:t>af betænkningen, at ”Brugen af digitale underskrifter – være sig med eller uden anvendelse af digital signatur – adskiller sig kun i teknisk henseende fra brugen af håndskrevne underskrifter. Brugen af moderne teknik til at udføre selve underskrifthandlingen medfører således i almindelighed ikke nogen ændring i forhold til de regler, som angiver retsvirkningen af den pågældende underskrift.” (s. 90).</w:t>
      </w:r>
      <w:r w:rsidR="00B552AD" w:rsidRPr="00577043">
        <w:t xml:space="preserve"> </w:t>
      </w:r>
    </w:p>
    <w:p w14:paraId="150A772D" w14:textId="77777777" w:rsidR="00321570" w:rsidRPr="00577043" w:rsidRDefault="00321570" w:rsidP="006F56CD"/>
    <w:p w14:paraId="4D8AB1D8" w14:textId="77777777" w:rsidR="00F14A71" w:rsidRPr="00577043" w:rsidRDefault="00F14A71" w:rsidP="00AC7764"/>
    <w:p w14:paraId="5CD583A8" w14:textId="77777777" w:rsidR="00AC7764" w:rsidRPr="00577043" w:rsidRDefault="00AC7764" w:rsidP="00AC7764">
      <w:r w:rsidRPr="00577043">
        <w:t xml:space="preserve">Forud for deltagelse i et klinisk lægemiddelforsøg skal forsøgspersonen have information om forsøget, der gør det muligt at forstå den pågældendes rettigheder og garantier samt betingelser for det kliniske forsøgs gennemførelse, jf. artikel 29, stk. 2. </w:t>
      </w:r>
    </w:p>
    <w:p w14:paraId="0628BC38" w14:textId="77777777" w:rsidR="00AC7764" w:rsidRPr="00577043" w:rsidRDefault="00AC7764" w:rsidP="00AC7764"/>
    <w:p w14:paraId="63C9714E" w14:textId="77777777" w:rsidR="00AC7764" w:rsidRPr="00577043" w:rsidRDefault="00352139" w:rsidP="00AC7764">
      <w:r w:rsidRPr="00577043">
        <w:t>Det foreslås som nævnt</w:t>
      </w:r>
      <w:r>
        <w:t xml:space="preserve"> med § 4, stk. 2</w:t>
      </w:r>
      <w:r w:rsidRPr="00577043">
        <w:t>, at sundheds- og ældreministeren kan fastsætte nærmere regler om indholdet af den danske deltagerinformation, der skal supplerer de i forordningen fastsatte krav</w:t>
      </w:r>
      <w:r>
        <w:t xml:space="preserve"> </w:t>
      </w:r>
      <w:r w:rsidR="00574B02">
        <w:t>om</w:t>
      </w:r>
      <w:r>
        <w:t xml:space="preserve"> information til forsøgsdeltagerne. Den foreslåede hjemmel vil bl.a. blive benyttet til ved bekendtgørelse at fastsætte, at f</w:t>
      </w:r>
      <w:r w:rsidR="00AC7764" w:rsidRPr="00577043">
        <w:t>orsøgsdeltageren skal oplyses om retsvirkningerne af samtykke</w:t>
      </w:r>
      <w:r>
        <w:t xml:space="preserve">t i deltagerinformationen.  Det </w:t>
      </w:r>
      <w:r w:rsidR="00AC7764" w:rsidRPr="00577043">
        <w:t>skal bl.a. fremgå af deltagerinformation</w:t>
      </w:r>
      <w:r w:rsidR="00A72816">
        <w:t>en</w:t>
      </w:r>
      <w:r w:rsidR="00AC7764" w:rsidRPr="00577043">
        <w:t>, at et samtykke til forsøget samtidig medfører, at sponsorer, monitorer og udenlandske myndigheder får adgang til relevante helbredsoplysninger i patientjournalen til brug for gennemførelse af lovlig egenkontrol og monitorering, samt til brug for verifikation af oplysninger og data i forsøgsjournalen (masterfilen), jf. lovforslagets §</w:t>
      </w:r>
      <w:r w:rsidR="00512DDB">
        <w:t>19</w:t>
      </w:r>
      <w:r w:rsidR="00AC7764" w:rsidRPr="00577043">
        <w:t>.</w:t>
      </w:r>
    </w:p>
    <w:p w14:paraId="420CA9AF" w14:textId="77777777" w:rsidR="00AC7764" w:rsidRPr="00577043" w:rsidRDefault="00AC7764" w:rsidP="00AC7764">
      <w:r w:rsidRPr="00577043">
        <w:t xml:space="preserve"> </w:t>
      </w:r>
    </w:p>
    <w:p w14:paraId="7AD66B13" w14:textId="77777777" w:rsidR="00A53872" w:rsidRDefault="00A53872" w:rsidP="00A53872">
      <w:pPr>
        <w:rPr>
          <w:rFonts w:eastAsia="Times New Roman" w:cs="Times New Roman"/>
          <w:color w:val="000000"/>
          <w:lang w:eastAsia="da-DK"/>
        </w:rPr>
      </w:pPr>
      <w:r>
        <w:rPr>
          <w:lang w:eastAsia="da-DK"/>
        </w:rPr>
        <w:t>Med § 4, stk. 3, foreslås det, at s</w:t>
      </w:r>
      <w:r w:rsidRPr="00A9198A">
        <w:rPr>
          <w:rFonts w:eastAsia="Times New Roman" w:cs="Times New Roman"/>
          <w:color w:val="000000"/>
          <w:lang w:eastAsia="da-DK"/>
        </w:rPr>
        <w:t xml:space="preserve">undheds- og ældreministeren kan </w:t>
      </w:r>
      <w:r>
        <w:rPr>
          <w:rFonts w:eastAsia="Times New Roman" w:cs="Times New Roman"/>
          <w:color w:val="000000"/>
          <w:lang w:eastAsia="da-DK"/>
        </w:rPr>
        <w:t xml:space="preserve">fastsætte nærmere regler om krav til den person, som giver den mundtlige information og modtager det informerede samtykke fra forsøgspersonen. </w:t>
      </w:r>
      <w:r w:rsidR="00A644DD">
        <w:rPr>
          <w:rFonts w:eastAsia="Times New Roman" w:cs="Times New Roman"/>
          <w:color w:val="000000"/>
          <w:lang w:eastAsia="da-DK"/>
        </w:rPr>
        <w:t xml:space="preserve">Denne bemyndigelse vil bl.a. blive </w:t>
      </w:r>
      <w:r>
        <w:rPr>
          <w:rFonts w:eastAsia="Times New Roman" w:cs="Times New Roman"/>
          <w:color w:val="000000"/>
          <w:lang w:eastAsia="da-DK"/>
        </w:rPr>
        <w:t>benyttet</w:t>
      </w:r>
      <w:r w:rsidR="00A644DD">
        <w:rPr>
          <w:rFonts w:eastAsia="Times New Roman" w:cs="Times New Roman"/>
          <w:color w:val="000000"/>
          <w:lang w:eastAsia="da-DK"/>
        </w:rPr>
        <w:t xml:space="preserve"> til at fastsætte, a</w:t>
      </w:r>
      <w:r w:rsidR="00C60D1B">
        <w:rPr>
          <w:rFonts w:eastAsia="Times New Roman" w:cs="Times New Roman"/>
          <w:color w:val="000000"/>
          <w:lang w:eastAsia="da-DK"/>
        </w:rPr>
        <w:t>t</w:t>
      </w:r>
      <w:r w:rsidR="00A644DD">
        <w:rPr>
          <w:rFonts w:eastAsia="Times New Roman" w:cs="Times New Roman"/>
          <w:color w:val="000000"/>
          <w:lang w:eastAsia="da-DK"/>
        </w:rPr>
        <w:t xml:space="preserve"> information skal gives og samtykke modtages af investigator eller medlemmer af forsøgsholdet, som har de faglige forudsætninger for at kunne formidle indholdet af forskningsprojektet og har direkte tilknytning til dette. </w:t>
      </w:r>
      <w:r w:rsidR="00A11747">
        <w:rPr>
          <w:rFonts w:eastAsia="Times New Roman" w:cs="Times New Roman"/>
          <w:color w:val="000000"/>
          <w:lang w:eastAsia="da-DK"/>
        </w:rPr>
        <w:t>Dermed opfyldes kravet i</w:t>
      </w:r>
      <w:r w:rsidR="00A644DD">
        <w:rPr>
          <w:rFonts w:eastAsia="Times New Roman" w:cs="Times New Roman"/>
          <w:color w:val="000000"/>
          <w:lang w:eastAsia="da-DK"/>
        </w:rPr>
        <w:t xml:space="preserve"> forordningens </w:t>
      </w:r>
      <w:r w:rsidR="00A10484" w:rsidRPr="00577043">
        <w:rPr>
          <w:rFonts w:eastAsia="Times New Roman" w:cs="Times New Roman"/>
          <w:bCs/>
          <w:color w:val="000000"/>
          <w:lang w:eastAsia="da-DK"/>
        </w:rPr>
        <w:t>art</w:t>
      </w:r>
      <w:r w:rsidR="00A10484">
        <w:rPr>
          <w:rFonts w:eastAsia="Times New Roman" w:cs="Times New Roman"/>
          <w:bCs/>
          <w:color w:val="000000"/>
          <w:lang w:eastAsia="da-DK"/>
        </w:rPr>
        <w:t>ikel</w:t>
      </w:r>
      <w:r w:rsidR="00A644DD">
        <w:rPr>
          <w:rFonts w:eastAsia="Times New Roman" w:cs="Times New Roman"/>
          <w:color w:val="000000"/>
          <w:lang w:eastAsia="da-DK"/>
        </w:rPr>
        <w:t xml:space="preserve"> 32, stk. 1, litra b</w:t>
      </w:r>
      <w:r w:rsidR="00A11747">
        <w:rPr>
          <w:rFonts w:eastAsia="Times New Roman" w:cs="Times New Roman"/>
          <w:color w:val="000000"/>
          <w:lang w:eastAsia="da-DK"/>
        </w:rPr>
        <w:t>, hvor det</w:t>
      </w:r>
      <w:r w:rsidR="00A644DD">
        <w:rPr>
          <w:rFonts w:eastAsia="Times New Roman" w:cs="Times New Roman"/>
          <w:color w:val="000000"/>
          <w:lang w:eastAsia="da-DK"/>
        </w:rPr>
        <w:t xml:space="preserve"> er fastsat, at mindreårige skal modtage informationen fra en investigator eller medlemmer af forsøgsholdet, der er uddannet i eller har erfaring med at arbejde med børn.</w:t>
      </w:r>
      <w:r w:rsidR="00A11747">
        <w:rPr>
          <w:rFonts w:eastAsia="Times New Roman" w:cs="Times New Roman"/>
          <w:color w:val="000000"/>
          <w:lang w:eastAsia="da-DK"/>
        </w:rPr>
        <w:t xml:space="preserve"> Dette svarer til gældende krav</w:t>
      </w:r>
      <w:r w:rsidR="00474F4A">
        <w:rPr>
          <w:rFonts w:eastAsia="Times New Roman" w:cs="Times New Roman"/>
          <w:color w:val="000000"/>
          <w:lang w:eastAsia="da-DK"/>
        </w:rPr>
        <w:t xml:space="preserve"> i medfør af</w:t>
      </w:r>
      <w:r w:rsidR="00A11747">
        <w:rPr>
          <w:rFonts w:eastAsia="Times New Roman" w:cs="Times New Roman"/>
          <w:color w:val="000000"/>
          <w:lang w:eastAsia="da-DK"/>
        </w:rPr>
        <w:t xml:space="preserve"> informationsbekendtgørelsens § 12.</w:t>
      </w:r>
    </w:p>
    <w:p w14:paraId="0ED6A334" w14:textId="77777777" w:rsidR="00D56E75" w:rsidRDefault="00D56E75" w:rsidP="00A53872">
      <w:pPr>
        <w:rPr>
          <w:rFonts w:eastAsia="Times New Roman" w:cs="Times New Roman"/>
          <w:color w:val="000000"/>
          <w:lang w:eastAsia="da-DK"/>
        </w:rPr>
      </w:pPr>
    </w:p>
    <w:p w14:paraId="5B3FB990" w14:textId="77777777" w:rsidR="00843464" w:rsidRDefault="00D56E75" w:rsidP="00A53872">
      <w:pPr>
        <w:rPr>
          <w:rFonts w:eastAsia="Times New Roman" w:cs="Times New Roman"/>
          <w:color w:val="000000"/>
          <w:lang w:eastAsia="da-DK"/>
        </w:rPr>
      </w:pPr>
      <w:r>
        <w:rPr>
          <w:rFonts w:eastAsia="Times New Roman" w:cs="Times New Roman"/>
          <w:color w:val="000000"/>
          <w:lang w:eastAsia="da-DK"/>
        </w:rPr>
        <w:t xml:space="preserve">Det foreslås med § 4, stk. 4, at sundheds- og ældreministeren kan fastsætte nærmere regler </w:t>
      </w:r>
      <w:r w:rsidR="00843464">
        <w:rPr>
          <w:rFonts w:eastAsia="Times New Roman" w:cs="Times New Roman"/>
          <w:color w:val="000000"/>
          <w:lang w:eastAsia="da-DK"/>
        </w:rPr>
        <w:t>om</w:t>
      </w:r>
      <w:r>
        <w:rPr>
          <w:rFonts w:eastAsia="Times New Roman" w:cs="Times New Roman"/>
          <w:color w:val="000000"/>
          <w:lang w:eastAsia="da-DK"/>
        </w:rPr>
        <w:t xml:space="preserve"> samtykke og deltagelse i forsøg for personer, som kan være udsat for et særligt pres for deltagelse i et klinisk forsøg med lægemidler. Dette er i overensstemmelse med forordningens </w:t>
      </w:r>
      <w:r w:rsidR="00A10484" w:rsidRPr="00577043">
        <w:rPr>
          <w:rFonts w:eastAsia="Times New Roman" w:cs="Times New Roman"/>
          <w:bCs/>
          <w:color w:val="000000"/>
          <w:lang w:eastAsia="da-DK"/>
        </w:rPr>
        <w:t>art</w:t>
      </w:r>
      <w:r w:rsidR="00A10484">
        <w:rPr>
          <w:rFonts w:eastAsia="Times New Roman" w:cs="Times New Roman"/>
          <w:bCs/>
          <w:color w:val="000000"/>
          <w:lang w:eastAsia="da-DK"/>
        </w:rPr>
        <w:t>ikel</w:t>
      </w:r>
      <w:r>
        <w:rPr>
          <w:rFonts w:eastAsia="Times New Roman" w:cs="Times New Roman"/>
          <w:color w:val="000000"/>
          <w:lang w:eastAsia="da-DK"/>
        </w:rPr>
        <w:t xml:space="preserve"> 34, hvorefter medlemsstaterne kan opretholde supplerende foranstaltninger vedrørende personer, der gennemfører tvungen militærtjeneste, frihedsberøvede personer, personer, der som følge af retsafgørelser ikke kan deltage i kliniske forsøg, eller personer, der bor på plejeinstitutioner. </w:t>
      </w:r>
      <w:r w:rsidR="00843464">
        <w:rPr>
          <w:rFonts w:eastAsia="Times New Roman" w:cs="Times New Roman"/>
          <w:color w:val="000000"/>
          <w:lang w:eastAsia="da-DK"/>
        </w:rPr>
        <w:t>Der er ifølge betragtning 35 i forordningen tale om personer, som befinder sig i et underordnet forhold eller et reelt afhængighedsforhold, og som derfor kan have behov for særlige beskyttelsesforanstaltninger i forhold til deres stillingtagen til deltagelse i et forsøg.</w:t>
      </w:r>
    </w:p>
    <w:p w14:paraId="36BEA194" w14:textId="77777777" w:rsidR="00843464" w:rsidRDefault="00843464" w:rsidP="00A53872">
      <w:pPr>
        <w:rPr>
          <w:rFonts w:eastAsia="Times New Roman" w:cs="Times New Roman"/>
          <w:color w:val="000000"/>
          <w:lang w:eastAsia="da-DK"/>
        </w:rPr>
      </w:pPr>
    </w:p>
    <w:p w14:paraId="4A49838E" w14:textId="77777777" w:rsidR="00D56E75" w:rsidRPr="00D56E75" w:rsidRDefault="00843464" w:rsidP="00A53872">
      <w:pPr>
        <w:rPr>
          <w:rFonts w:eastAsia="Times New Roman" w:cs="Times New Roman"/>
          <w:color w:val="000000"/>
          <w:lang w:eastAsia="da-DK"/>
        </w:rPr>
      </w:pPr>
      <w:r>
        <w:rPr>
          <w:rFonts w:eastAsia="Times New Roman" w:cs="Times New Roman"/>
          <w:color w:val="000000"/>
          <w:lang w:eastAsia="da-DK"/>
        </w:rPr>
        <w:t>Bemyndigelsen i § 4, stk. 4,</w:t>
      </w:r>
      <w:r w:rsidR="00D56E75">
        <w:rPr>
          <w:rFonts w:eastAsia="Times New Roman" w:cs="Times New Roman"/>
          <w:color w:val="000000"/>
          <w:lang w:eastAsia="da-DK"/>
        </w:rPr>
        <w:t xml:space="preserve"> vil </w:t>
      </w:r>
      <w:r w:rsidR="009E3CC2">
        <w:rPr>
          <w:rFonts w:eastAsia="Times New Roman" w:cs="Times New Roman"/>
          <w:color w:val="000000"/>
          <w:lang w:eastAsia="da-DK"/>
        </w:rPr>
        <w:t xml:space="preserve">på linje med § 10 i informationsbekendtgørelsen </w:t>
      </w:r>
      <w:r w:rsidR="00D56E75">
        <w:rPr>
          <w:rFonts w:eastAsia="Times New Roman" w:cs="Times New Roman"/>
          <w:color w:val="000000"/>
          <w:lang w:eastAsia="da-DK"/>
        </w:rPr>
        <w:t>blive benyttet til at fastsætte</w:t>
      </w:r>
      <w:r w:rsidR="007F5585">
        <w:rPr>
          <w:rFonts w:eastAsia="Times New Roman" w:cs="Times New Roman"/>
          <w:color w:val="000000"/>
          <w:lang w:eastAsia="da-DK"/>
        </w:rPr>
        <w:t xml:space="preserve">, </w:t>
      </w:r>
      <w:r w:rsidR="00F92088">
        <w:rPr>
          <w:rFonts w:eastAsia="Times New Roman" w:cs="Times New Roman"/>
          <w:color w:val="000000"/>
          <w:lang w:eastAsia="da-DK"/>
        </w:rPr>
        <w:t xml:space="preserve">at </w:t>
      </w:r>
      <w:r w:rsidR="009E3CC2">
        <w:rPr>
          <w:rFonts w:eastAsia="Times New Roman" w:cs="Times New Roman"/>
          <w:color w:val="000000"/>
          <w:lang w:eastAsia="da-DK"/>
        </w:rPr>
        <w:t xml:space="preserve">for </w:t>
      </w:r>
      <w:r w:rsidR="00F92088">
        <w:rPr>
          <w:rFonts w:eastAsia="Times New Roman" w:cs="Times New Roman"/>
          <w:color w:val="000000"/>
          <w:lang w:eastAsia="da-DK"/>
        </w:rPr>
        <w:t>frihedsberøvede personer og personer, der bor på plejeinstitutioner</w:t>
      </w:r>
      <w:r w:rsidR="007F5585">
        <w:rPr>
          <w:rFonts w:eastAsia="Times New Roman" w:cs="Times New Roman"/>
          <w:color w:val="000000"/>
          <w:lang w:eastAsia="da-DK"/>
        </w:rPr>
        <w:t>, men hvor personen i øvrigt er i stand til at give et informeret samtykke, kan komiteen efter en konkret vurdering beslutte, at forsøgspersonens samtykke til deltagelse i et forskningsprojekt skal afgive</w:t>
      </w:r>
      <w:r w:rsidR="009E3CC2">
        <w:rPr>
          <w:rFonts w:eastAsia="Times New Roman" w:cs="Times New Roman"/>
          <w:color w:val="000000"/>
          <w:lang w:eastAsia="da-DK"/>
        </w:rPr>
        <w:t>s</w:t>
      </w:r>
      <w:r w:rsidR="007F5585">
        <w:rPr>
          <w:rFonts w:eastAsia="Times New Roman" w:cs="Times New Roman"/>
          <w:color w:val="000000"/>
          <w:lang w:eastAsia="da-DK"/>
        </w:rPr>
        <w:t xml:space="preserve"> over for en af komiteen godkendt person. Komiteen kan desuden b</w:t>
      </w:r>
      <w:r w:rsidR="009E3CC2">
        <w:rPr>
          <w:rFonts w:eastAsia="Times New Roman" w:cs="Times New Roman"/>
          <w:color w:val="000000"/>
          <w:lang w:eastAsia="da-DK"/>
        </w:rPr>
        <w:t>e</w:t>
      </w:r>
      <w:r w:rsidR="007F5585">
        <w:rPr>
          <w:rFonts w:eastAsia="Times New Roman" w:cs="Times New Roman"/>
          <w:color w:val="000000"/>
          <w:lang w:eastAsia="da-DK"/>
        </w:rPr>
        <w:t>slutte, at informationen i</w:t>
      </w:r>
      <w:r w:rsidR="009E3CC2">
        <w:rPr>
          <w:rFonts w:eastAsia="Times New Roman" w:cs="Times New Roman"/>
          <w:color w:val="000000"/>
          <w:lang w:eastAsia="da-DK"/>
        </w:rPr>
        <w:t xml:space="preserve"> </w:t>
      </w:r>
      <w:r w:rsidR="007F5585">
        <w:rPr>
          <w:rFonts w:eastAsia="Times New Roman" w:cs="Times New Roman"/>
          <w:color w:val="000000"/>
          <w:lang w:eastAsia="da-DK"/>
        </w:rPr>
        <w:t xml:space="preserve">sådanne tilfælde suppleres med oplysning om, at </w:t>
      </w:r>
      <w:r w:rsidR="007F5585">
        <w:rPr>
          <w:rFonts w:eastAsia="Times New Roman" w:cs="Times New Roman"/>
          <w:color w:val="000000"/>
          <w:lang w:eastAsia="da-DK"/>
        </w:rPr>
        <w:lastRenderedPageBreak/>
        <w:t>afvikling</w:t>
      </w:r>
      <w:r w:rsidR="009E3CC2">
        <w:rPr>
          <w:rFonts w:eastAsia="Times New Roman" w:cs="Times New Roman"/>
          <w:color w:val="000000"/>
          <w:lang w:eastAsia="da-DK"/>
        </w:rPr>
        <w:t>e</w:t>
      </w:r>
      <w:r w:rsidR="007F5585">
        <w:rPr>
          <w:rFonts w:eastAsia="Times New Roman" w:cs="Times New Roman"/>
          <w:color w:val="000000"/>
          <w:lang w:eastAsia="da-DK"/>
        </w:rPr>
        <w:t>n af forskningsprojekte</w:t>
      </w:r>
      <w:r w:rsidR="009E3CC2">
        <w:rPr>
          <w:rFonts w:eastAsia="Times New Roman" w:cs="Times New Roman"/>
          <w:color w:val="000000"/>
          <w:lang w:eastAsia="da-DK"/>
        </w:rPr>
        <w:t>t</w:t>
      </w:r>
      <w:r w:rsidR="007F5585">
        <w:rPr>
          <w:rFonts w:eastAsia="Times New Roman" w:cs="Times New Roman"/>
          <w:color w:val="000000"/>
          <w:lang w:eastAsia="da-DK"/>
        </w:rPr>
        <w:t xml:space="preserve"> skal overvåges af en uafhængig sagkyndig. Det vil endvidere blive fastsat, at personer, som er frihedsberøvede i henhold til lov om tvang i psykiatrien, ikke kan medvirke som forsøgspersoner i sundhedsvidenskabelige forskningsprojek</w:t>
      </w:r>
      <w:r w:rsidR="009E3CC2">
        <w:rPr>
          <w:rFonts w:eastAsia="Times New Roman" w:cs="Times New Roman"/>
          <w:color w:val="000000"/>
          <w:lang w:eastAsia="da-DK"/>
        </w:rPr>
        <w:t>t</w:t>
      </w:r>
      <w:r w:rsidR="007F5585">
        <w:rPr>
          <w:rFonts w:eastAsia="Times New Roman" w:cs="Times New Roman"/>
          <w:color w:val="000000"/>
          <w:lang w:eastAsia="da-DK"/>
        </w:rPr>
        <w:t>er</w:t>
      </w:r>
      <w:r w:rsidR="00C81B53">
        <w:rPr>
          <w:rFonts w:eastAsia="Times New Roman" w:cs="Times New Roman"/>
          <w:color w:val="000000"/>
          <w:lang w:eastAsia="da-DK"/>
        </w:rPr>
        <w:t xml:space="preserve">, </w:t>
      </w:r>
      <w:r w:rsidR="005551DD">
        <w:rPr>
          <w:rFonts w:eastAsia="Times New Roman" w:cs="Times New Roman"/>
          <w:color w:val="000000"/>
          <w:lang w:eastAsia="da-DK"/>
        </w:rPr>
        <w:t>jf.</w:t>
      </w:r>
      <w:r w:rsidR="00C81B53">
        <w:rPr>
          <w:rFonts w:eastAsia="Times New Roman" w:cs="Times New Roman"/>
          <w:color w:val="000000"/>
          <w:lang w:eastAsia="da-DK"/>
        </w:rPr>
        <w:t xml:space="preserve"> § 23 </w:t>
      </w:r>
      <w:r w:rsidR="005551DD">
        <w:rPr>
          <w:rFonts w:eastAsia="Times New Roman" w:cs="Times New Roman"/>
          <w:color w:val="000000"/>
          <w:lang w:eastAsia="da-DK"/>
        </w:rPr>
        <w:t>i</w:t>
      </w:r>
      <w:r w:rsidR="00C81B53">
        <w:rPr>
          <w:rFonts w:eastAsia="Times New Roman" w:cs="Times New Roman"/>
          <w:color w:val="000000"/>
          <w:lang w:eastAsia="da-DK"/>
        </w:rPr>
        <w:t xml:space="preserve"> loven om tvang i psykiatrien</w:t>
      </w:r>
      <w:r w:rsidR="007F5585">
        <w:rPr>
          <w:rFonts w:eastAsia="Times New Roman" w:cs="Times New Roman"/>
          <w:color w:val="000000"/>
          <w:lang w:eastAsia="da-DK"/>
        </w:rPr>
        <w:t xml:space="preserve">. </w:t>
      </w:r>
    </w:p>
    <w:p w14:paraId="0148C1CC" w14:textId="77777777" w:rsidR="0060340E" w:rsidRPr="00577043" w:rsidRDefault="0060340E" w:rsidP="00351FD6">
      <w:pPr>
        <w:rPr>
          <w:lang w:eastAsia="da-DK"/>
        </w:rPr>
      </w:pPr>
    </w:p>
    <w:p w14:paraId="5F3F4F1A" w14:textId="77777777" w:rsidR="00F52C1C" w:rsidRPr="00577043" w:rsidRDefault="00F52C1C" w:rsidP="00CB2276">
      <w:pPr>
        <w:rPr>
          <w:rFonts w:eastAsia="Times New Roman" w:cs="Times New Roman"/>
          <w:color w:val="000000"/>
          <w:lang w:eastAsia="da-DK"/>
        </w:rPr>
      </w:pPr>
    </w:p>
    <w:p w14:paraId="1ACA87CB" w14:textId="77777777" w:rsidR="00E476F6" w:rsidRPr="00577043" w:rsidRDefault="00E476F6" w:rsidP="00E476F6">
      <w:pPr>
        <w:pStyle w:val="Overskrift2"/>
        <w:jc w:val="left"/>
        <w:rPr>
          <w:rFonts w:eastAsia="Times New Roman" w:cs="Times New Roman"/>
          <w:lang w:eastAsia="da-DK"/>
        </w:rPr>
      </w:pPr>
      <w:r w:rsidRPr="00577043">
        <w:rPr>
          <w:rFonts w:eastAsia="Times New Roman" w:cs="Times New Roman"/>
          <w:lang w:eastAsia="da-DK"/>
        </w:rPr>
        <w:t xml:space="preserve">Til §§ </w:t>
      </w:r>
      <w:r>
        <w:rPr>
          <w:rFonts w:eastAsia="Times New Roman" w:cs="Times New Roman"/>
          <w:lang w:eastAsia="da-DK"/>
        </w:rPr>
        <w:t>5</w:t>
      </w:r>
      <w:r w:rsidRPr="00577043">
        <w:rPr>
          <w:rFonts w:eastAsia="Times New Roman" w:cs="Times New Roman"/>
          <w:lang w:eastAsia="da-DK"/>
        </w:rPr>
        <w:t xml:space="preserve">- </w:t>
      </w:r>
      <w:r>
        <w:rPr>
          <w:rFonts w:eastAsia="Times New Roman" w:cs="Times New Roman"/>
          <w:lang w:eastAsia="da-DK"/>
        </w:rPr>
        <w:t>6</w:t>
      </w:r>
      <w:r w:rsidRPr="00577043">
        <w:rPr>
          <w:rFonts w:eastAsia="Times New Roman" w:cs="Times New Roman"/>
          <w:lang w:eastAsia="da-DK"/>
        </w:rPr>
        <w:t>. [Nedsættelse af videnskabsetiske lægemiddelkomiteer]</w:t>
      </w:r>
    </w:p>
    <w:p w14:paraId="66C83289" w14:textId="77777777" w:rsidR="00E476F6" w:rsidRPr="00577043" w:rsidRDefault="00E476F6" w:rsidP="00E476F6">
      <w:pPr>
        <w:rPr>
          <w:rFonts w:eastAsia="Times New Roman" w:cs="Times New Roman"/>
          <w:color w:val="000000"/>
          <w:lang w:eastAsia="da-DK"/>
        </w:rPr>
      </w:pPr>
      <w:r w:rsidRPr="00577043">
        <w:rPr>
          <w:rFonts w:eastAsia="Times New Roman" w:cs="Times New Roman"/>
          <w:color w:val="000000"/>
          <w:lang w:eastAsia="da-DK"/>
        </w:rPr>
        <w:t xml:space="preserve">Med § </w:t>
      </w:r>
      <w:r w:rsidR="004C2F72">
        <w:rPr>
          <w:rFonts w:eastAsia="Times New Roman" w:cs="Times New Roman"/>
          <w:color w:val="000000"/>
          <w:lang w:eastAsia="da-DK"/>
        </w:rPr>
        <w:t>5</w:t>
      </w:r>
      <w:r w:rsidRPr="00577043">
        <w:rPr>
          <w:rFonts w:eastAsia="Times New Roman" w:cs="Times New Roman"/>
          <w:color w:val="000000"/>
          <w:lang w:eastAsia="da-DK"/>
        </w:rPr>
        <w:t xml:space="preserve"> foreslås det, at sundheds- og ældreministeren får bemyndigelse til at nedsætte én eller flere lægemiddelkomiteer parallelt til DNVK. </w:t>
      </w:r>
    </w:p>
    <w:p w14:paraId="2947B007" w14:textId="77777777" w:rsidR="00E476F6" w:rsidRPr="00577043" w:rsidRDefault="00E476F6" w:rsidP="00E476F6">
      <w:pPr>
        <w:rPr>
          <w:rFonts w:eastAsia="Times New Roman" w:cs="Times New Roman"/>
          <w:color w:val="000000"/>
          <w:lang w:eastAsia="da-DK"/>
        </w:rPr>
      </w:pPr>
    </w:p>
    <w:p w14:paraId="3E38B27E" w14:textId="77777777" w:rsidR="00E476F6" w:rsidRPr="00577043" w:rsidRDefault="00E476F6" w:rsidP="00E476F6">
      <w:pPr>
        <w:rPr>
          <w:rFonts w:eastAsia="Times New Roman" w:cs="Times New Roman"/>
          <w:color w:val="000000"/>
          <w:lang w:eastAsia="da-DK"/>
        </w:rPr>
      </w:pPr>
      <w:r w:rsidRPr="00577043">
        <w:rPr>
          <w:rFonts w:eastAsia="Times New Roman" w:cs="Times New Roman"/>
          <w:color w:val="000000"/>
          <w:lang w:eastAsia="da-DK"/>
        </w:rPr>
        <w:t>Det foreslås</w:t>
      </w:r>
      <w:r>
        <w:rPr>
          <w:rFonts w:eastAsia="Times New Roman" w:cs="Times New Roman"/>
          <w:color w:val="000000"/>
          <w:lang w:eastAsia="da-DK"/>
        </w:rPr>
        <w:t>,</w:t>
      </w:r>
      <w:r w:rsidRPr="00577043">
        <w:rPr>
          <w:rFonts w:eastAsia="Times New Roman" w:cs="Times New Roman"/>
          <w:color w:val="000000"/>
          <w:lang w:eastAsia="da-DK"/>
        </w:rPr>
        <w:t xml:space="preserve"> at formanden for hver enkelt videnskabsetisk lægemiddelkomité udpeges af sundheds- og ældreministeren, jf. den foreslåede </w:t>
      </w:r>
      <w:r w:rsidRPr="00AE2B5D">
        <w:rPr>
          <w:rFonts w:eastAsia="Times New Roman" w:cs="Times New Roman"/>
          <w:i/>
          <w:color w:val="000000"/>
          <w:lang w:eastAsia="da-DK"/>
        </w:rPr>
        <w:t xml:space="preserve">§ </w:t>
      </w:r>
      <w:r w:rsidR="004C2F72">
        <w:rPr>
          <w:rFonts w:eastAsia="Times New Roman" w:cs="Times New Roman"/>
          <w:i/>
          <w:color w:val="000000"/>
          <w:lang w:eastAsia="da-DK"/>
        </w:rPr>
        <w:t>6</w:t>
      </w:r>
      <w:r w:rsidRPr="00AE2B5D">
        <w:rPr>
          <w:rFonts w:eastAsia="Times New Roman" w:cs="Times New Roman"/>
          <w:i/>
          <w:color w:val="000000"/>
          <w:lang w:eastAsia="da-DK"/>
        </w:rPr>
        <w:t>, stk. 1, nr. 1</w:t>
      </w:r>
      <w:r w:rsidRPr="00577043">
        <w:rPr>
          <w:rFonts w:eastAsia="Times New Roman" w:cs="Times New Roman"/>
          <w:color w:val="000000"/>
          <w:lang w:eastAsia="da-DK"/>
        </w:rPr>
        <w:t xml:space="preserve">. Formanden skal ifølge den foreslåede § 10, stk. 2, være aktiv inden for sundhedsvidenskabelig forskning med henblik på at sikre, at formanden har en faglig indsigt i projekterne. </w:t>
      </w:r>
    </w:p>
    <w:p w14:paraId="20245D39" w14:textId="77777777" w:rsidR="00E476F6" w:rsidRPr="00577043" w:rsidRDefault="00E476F6" w:rsidP="00E476F6">
      <w:pPr>
        <w:rPr>
          <w:rFonts w:eastAsia="Times New Roman" w:cs="Times New Roman"/>
          <w:color w:val="000000"/>
          <w:lang w:eastAsia="da-DK"/>
        </w:rPr>
      </w:pPr>
    </w:p>
    <w:p w14:paraId="2E191831" w14:textId="77777777" w:rsidR="00E476F6" w:rsidRPr="00577043" w:rsidRDefault="00E476F6" w:rsidP="00E476F6">
      <w:pPr>
        <w:rPr>
          <w:rFonts w:eastAsia="Times New Roman" w:cs="Times New Roman"/>
          <w:color w:val="000000"/>
          <w:lang w:eastAsia="da-DK"/>
        </w:rPr>
      </w:pPr>
      <w:r w:rsidRPr="00577043">
        <w:rPr>
          <w:rFonts w:eastAsia="Times New Roman" w:cs="Times New Roman"/>
          <w:color w:val="000000"/>
          <w:lang w:eastAsia="da-DK"/>
        </w:rPr>
        <w:t xml:space="preserve">Det foreslås med </w:t>
      </w:r>
      <w:r w:rsidRPr="00AE2B5D">
        <w:rPr>
          <w:rFonts w:eastAsia="Times New Roman" w:cs="Times New Roman"/>
          <w:i/>
          <w:color w:val="000000"/>
          <w:lang w:eastAsia="da-DK"/>
        </w:rPr>
        <w:t xml:space="preserve">§ </w:t>
      </w:r>
      <w:r w:rsidR="004C2F72">
        <w:rPr>
          <w:rFonts w:eastAsia="Times New Roman" w:cs="Times New Roman"/>
          <w:i/>
          <w:color w:val="000000"/>
          <w:lang w:eastAsia="da-DK"/>
        </w:rPr>
        <w:t>6</w:t>
      </w:r>
      <w:r w:rsidRPr="00AE2B5D">
        <w:rPr>
          <w:rFonts w:eastAsia="Times New Roman" w:cs="Times New Roman"/>
          <w:i/>
          <w:color w:val="000000"/>
          <w:lang w:eastAsia="da-DK"/>
        </w:rPr>
        <w:t>, stk. 1, nr. 2</w:t>
      </w:r>
      <w:r w:rsidRPr="00577043">
        <w:rPr>
          <w:rFonts w:eastAsia="Times New Roman" w:cs="Times New Roman"/>
          <w:color w:val="000000"/>
          <w:lang w:eastAsia="da-DK"/>
        </w:rPr>
        <w:t xml:space="preserve">, at 5 medlemmer i de videnskabsetiske lægemiddelkomiteer udpeges efter indstilling fra de enkelte regioner, således at komiteerne, som behandler ansøgninger om lægemiddelforsøg, fortsat har en regional forankring. Sundheds- og ældreministeren har ved udpegningen ansvaret for, at komiteerne på baggrund af de regionale indstillinger sammensættes, så de kan varetage opgaverne efter lovforslaget på kvalificeret vis. </w:t>
      </w:r>
    </w:p>
    <w:p w14:paraId="13C1EA64" w14:textId="77777777" w:rsidR="00E476F6" w:rsidRPr="00577043" w:rsidRDefault="00E476F6" w:rsidP="00E476F6">
      <w:pPr>
        <w:rPr>
          <w:rFonts w:eastAsia="Times New Roman" w:cs="Times New Roman"/>
          <w:color w:val="000000"/>
          <w:lang w:eastAsia="da-DK"/>
        </w:rPr>
      </w:pPr>
    </w:p>
    <w:p w14:paraId="1149C8F6" w14:textId="77777777" w:rsidR="00E476F6" w:rsidRPr="00577043" w:rsidRDefault="00E476F6" w:rsidP="00E476F6">
      <w:pPr>
        <w:rPr>
          <w:rFonts w:eastAsia="Times New Roman" w:cs="Times New Roman"/>
          <w:color w:val="000000"/>
          <w:lang w:eastAsia="da-DK"/>
        </w:rPr>
      </w:pPr>
      <w:r w:rsidRPr="00577043">
        <w:rPr>
          <w:rFonts w:eastAsia="Times New Roman" w:cs="Times New Roman"/>
          <w:color w:val="000000"/>
          <w:lang w:eastAsia="da-DK"/>
        </w:rPr>
        <w:t xml:space="preserve">Det foreslås endvidere med </w:t>
      </w:r>
      <w:r w:rsidRPr="00AE2B5D">
        <w:rPr>
          <w:rFonts w:eastAsia="Times New Roman" w:cs="Times New Roman"/>
          <w:i/>
          <w:color w:val="000000"/>
          <w:lang w:eastAsia="da-DK"/>
        </w:rPr>
        <w:t xml:space="preserve">§ </w:t>
      </w:r>
      <w:r w:rsidR="004C2F72">
        <w:rPr>
          <w:rFonts w:eastAsia="Times New Roman" w:cs="Times New Roman"/>
          <w:i/>
          <w:color w:val="000000"/>
          <w:lang w:eastAsia="da-DK"/>
        </w:rPr>
        <w:t>6</w:t>
      </w:r>
      <w:r w:rsidRPr="00AE2B5D">
        <w:rPr>
          <w:rFonts w:eastAsia="Times New Roman" w:cs="Times New Roman"/>
          <w:i/>
          <w:color w:val="000000"/>
          <w:lang w:eastAsia="da-DK"/>
        </w:rPr>
        <w:t>, stk. 1, nr. 3</w:t>
      </w:r>
      <w:r w:rsidRPr="00577043">
        <w:rPr>
          <w:rFonts w:eastAsia="Times New Roman" w:cs="Times New Roman"/>
          <w:color w:val="000000"/>
          <w:lang w:eastAsia="da-DK"/>
        </w:rPr>
        <w:t xml:space="preserve">, at 2 af medlemmerne i de videnskabsetiske lægemiddelkomiteer udpeges efter indstillinger fra organisationer, der repræsenterer patienter i overensstemmelse med forordningens krav om inddragelse af patienters eller patientorganisationers synspunkter, jf. </w:t>
      </w:r>
      <w:r w:rsidR="00A10484" w:rsidRPr="00577043">
        <w:rPr>
          <w:rFonts w:eastAsia="Times New Roman" w:cs="Times New Roman"/>
          <w:bCs/>
          <w:color w:val="000000"/>
          <w:lang w:eastAsia="da-DK"/>
        </w:rPr>
        <w:t>art</w:t>
      </w:r>
      <w:r w:rsidR="00A10484">
        <w:rPr>
          <w:rFonts w:eastAsia="Times New Roman" w:cs="Times New Roman"/>
          <w:bCs/>
          <w:color w:val="000000"/>
          <w:lang w:eastAsia="da-DK"/>
        </w:rPr>
        <w:t>ikel</w:t>
      </w:r>
      <w:r w:rsidRPr="00577043">
        <w:rPr>
          <w:rFonts w:eastAsia="Times New Roman" w:cs="Times New Roman"/>
          <w:color w:val="000000"/>
          <w:lang w:eastAsia="da-DK"/>
        </w:rPr>
        <w:t xml:space="preserve"> 2, stk. 2, nr. 11. Det forudsættes i den forbindelse, at Danske Patienter vil blive inviteret til at indstille patienter. Dette vil sikre, at der kan udpeges to medlemmer, der kan repræsentere mange forskellige typer af patienter.</w:t>
      </w:r>
    </w:p>
    <w:p w14:paraId="56AF358C" w14:textId="77777777" w:rsidR="00E476F6" w:rsidRDefault="00E476F6" w:rsidP="00E476F6">
      <w:pPr>
        <w:rPr>
          <w:rFonts w:eastAsia="Times New Roman" w:cs="Times New Roman"/>
          <w:color w:val="000000"/>
          <w:lang w:eastAsia="da-DK"/>
        </w:rPr>
      </w:pPr>
    </w:p>
    <w:p w14:paraId="1AA60DD5" w14:textId="77777777" w:rsidR="00E476F6" w:rsidRPr="00AE2B5D" w:rsidRDefault="00E476F6" w:rsidP="00E476F6">
      <w:pPr>
        <w:rPr>
          <w:rFonts w:eastAsia="Times New Roman" w:cs="Times New Roman"/>
          <w:color w:val="000000"/>
          <w:lang w:eastAsia="da-DK"/>
        </w:rPr>
      </w:pPr>
      <w:r>
        <w:rPr>
          <w:rFonts w:eastAsia="Times New Roman" w:cs="Times New Roman"/>
          <w:color w:val="000000"/>
          <w:lang w:eastAsia="da-DK"/>
        </w:rPr>
        <w:t xml:space="preserve">Det foreslås med </w:t>
      </w:r>
      <w:r w:rsidRPr="00AE2B5D">
        <w:rPr>
          <w:rFonts w:eastAsia="Times New Roman" w:cs="Times New Roman"/>
          <w:i/>
          <w:color w:val="000000"/>
          <w:lang w:eastAsia="da-DK"/>
        </w:rPr>
        <w:t xml:space="preserve">§ </w:t>
      </w:r>
      <w:r w:rsidR="004C2F72">
        <w:rPr>
          <w:rFonts w:eastAsia="Times New Roman" w:cs="Times New Roman"/>
          <w:i/>
          <w:color w:val="000000"/>
          <w:lang w:eastAsia="da-DK"/>
        </w:rPr>
        <w:t>6</w:t>
      </w:r>
      <w:r w:rsidRPr="00AE2B5D">
        <w:rPr>
          <w:rFonts w:eastAsia="Times New Roman" w:cs="Times New Roman"/>
          <w:i/>
          <w:color w:val="000000"/>
          <w:lang w:eastAsia="da-DK"/>
        </w:rPr>
        <w:t>, stk. 2</w:t>
      </w:r>
      <w:r>
        <w:rPr>
          <w:rFonts w:eastAsia="Times New Roman" w:cs="Times New Roman"/>
          <w:color w:val="000000"/>
          <w:lang w:eastAsia="da-DK"/>
        </w:rPr>
        <w:t>, at formanden skal være aktiv inden for sundhedsvidenskabelig forskning.</w:t>
      </w:r>
    </w:p>
    <w:p w14:paraId="6F6D7347" w14:textId="77777777" w:rsidR="00E476F6" w:rsidRPr="00577043" w:rsidRDefault="00E476F6" w:rsidP="00E476F6">
      <w:pPr>
        <w:rPr>
          <w:rFonts w:eastAsia="Times New Roman" w:cs="Times New Roman"/>
          <w:color w:val="000000"/>
          <w:lang w:eastAsia="da-DK"/>
        </w:rPr>
      </w:pPr>
    </w:p>
    <w:p w14:paraId="54EC4EE5" w14:textId="77777777" w:rsidR="00E476F6" w:rsidRPr="00577043" w:rsidRDefault="00E476F6" w:rsidP="00E476F6">
      <w:pPr>
        <w:rPr>
          <w:rFonts w:eastAsia="Times New Roman" w:cs="Times New Roman"/>
          <w:color w:val="000000"/>
          <w:lang w:eastAsia="da-DK"/>
        </w:rPr>
      </w:pPr>
      <w:r w:rsidRPr="00577043">
        <w:rPr>
          <w:rFonts w:eastAsia="Times New Roman" w:cs="Times New Roman"/>
          <w:color w:val="000000"/>
          <w:lang w:eastAsia="da-DK"/>
        </w:rPr>
        <w:t xml:space="preserve">Med </w:t>
      </w:r>
      <w:r w:rsidRPr="00AE2B5D">
        <w:rPr>
          <w:rFonts w:eastAsia="Times New Roman" w:cs="Times New Roman"/>
          <w:i/>
          <w:color w:val="000000"/>
          <w:lang w:eastAsia="da-DK"/>
        </w:rPr>
        <w:t xml:space="preserve">§ </w:t>
      </w:r>
      <w:r w:rsidR="004C2F72">
        <w:rPr>
          <w:rFonts w:eastAsia="Times New Roman" w:cs="Times New Roman"/>
          <w:i/>
          <w:color w:val="000000"/>
          <w:lang w:eastAsia="da-DK"/>
        </w:rPr>
        <w:t>6</w:t>
      </w:r>
      <w:r w:rsidRPr="00AE2B5D">
        <w:rPr>
          <w:rFonts w:eastAsia="Times New Roman" w:cs="Times New Roman"/>
          <w:i/>
          <w:color w:val="000000"/>
          <w:lang w:eastAsia="da-DK"/>
        </w:rPr>
        <w:t>, stk. 3</w:t>
      </w:r>
      <w:r w:rsidRPr="00577043">
        <w:rPr>
          <w:rFonts w:eastAsia="Times New Roman" w:cs="Times New Roman"/>
          <w:color w:val="000000"/>
          <w:lang w:eastAsia="da-DK"/>
        </w:rPr>
        <w:t xml:space="preserve">, foreslås i overensstemmelse med ligestillingslovens principper, at lige mange mænd og kvinder indstilles af hver enkelt region i medfør af § </w:t>
      </w:r>
      <w:r w:rsidR="004C2F72">
        <w:rPr>
          <w:rFonts w:eastAsia="Times New Roman" w:cs="Times New Roman"/>
          <w:color w:val="000000"/>
          <w:lang w:eastAsia="da-DK"/>
        </w:rPr>
        <w:t>6</w:t>
      </w:r>
      <w:r w:rsidRPr="00577043">
        <w:rPr>
          <w:rFonts w:eastAsia="Times New Roman" w:cs="Times New Roman"/>
          <w:color w:val="000000"/>
          <w:lang w:eastAsia="da-DK"/>
        </w:rPr>
        <w:t xml:space="preserve">, stk. 1, nr. 2, og fra organisationer, der repræsenterer patienter, i medfør af § </w:t>
      </w:r>
      <w:r w:rsidR="004C2F72">
        <w:rPr>
          <w:rFonts w:eastAsia="Times New Roman" w:cs="Times New Roman"/>
          <w:color w:val="000000"/>
          <w:lang w:eastAsia="da-DK"/>
        </w:rPr>
        <w:t>6</w:t>
      </w:r>
      <w:r w:rsidRPr="00577043">
        <w:rPr>
          <w:rFonts w:eastAsia="Times New Roman" w:cs="Times New Roman"/>
          <w:color w:val="000000"/>
          <w:lang w:eastAsia="da-DK"/>
        </w:rPr>
        <w:t>, stk. 1, nr. 3.</w:t>
      </w:r>
    </w:p>
    <w:p w14:paraId="089B9ACF" w14:textId="77777777" w:rsidR="00E476F6" w:rsidRPr="00577043" w:rsidRDefault="00E476F6" w:rsidP="00E476F6">
      <w:pPr>
        <w:rPr>
          <w:rFonts w:eastAsia="Times New Roman" w:cs="Times New Roman"/>
          <w:color w:val="000000"/>
          <w:lang w:eastAsia="da-DK"/>
        </w:rPr>
      </w:pPr>
    </w:p>
    <w:p w14:paraId="548EB517" w14:textId="77777777" w:rsidR="00E476F6" w:rsidRPr="00577043" w:rsidRDefault="00E476F6" w:rsidP="00E476F6">
      <w:pPr>
        <w:rPr>
          <w:rFonts w:eastAsia="Times New Roman" w:cs="Times New Roman"/>
          <w:color w:val="000000"/>
          <w:lang w:eastAsia="da-DK"/>
        </w:rPr>
      </w:pPr>
      <w:r w:rsidRPr="00577043">
        <w:rPr>
          <w:rFonts w:eastAsia="Times New Roman" w:cs="Times New Roman"/>
          <w:color w:val="000000"/>
          <w:lang w:eastAsia="da-DK"/>
        </w:rPr>
        <w:t xml:space="preserve">Med </w:t>
      </w:r>
      <w:r w:rsidRPr="00AE2B5D">
        <w:rPr>
          <w:rFonts w:eastAsia="Times New Roman" w:cs="Times New Roman"/>
          <w:i/>
          <w:color w:val="000000"/>
          <w:lang w:eastAsia="da-DK"/>
        </w:rPr>
        <w:t xml:space="preserve">§ </w:t>
      </w:r>
      <w:r w:rsidR="004C2F72">
        <w:rPr>
          <w:rFonts w:eastAsia="Times New Roman" w:cs="Times New Roman"/>
          <w:i/>
          <w:color w:val="000000"/>
          <w:lang w:eastAsia="da-DK"/>
        </w:rPr>
        <w:t>6</w:t>
      </w:r>
      <w:r w:rsidRPr="00AE2B5D">
        <w:rPr>
          <w:rFonts w:eastAsia="Times New Roman" w:cs="Times New Roman"/>
          <w:i/>
          <w:color w:val="000000"/>
          <w:lang w:eastAsia="da-DK"/>
        </w:rPr>
        <w:t>, stk. 4</w:t>
      </w:r>
      <w:r w:rsidRPr="00577043">
        <w:rPr>
          <w:rFonts w:eastAsia="Times New Roman" w:cs="Times New Roman"/>
          <w:color w:val="000000"/>
          <w:lang w:eastAsia="da-DK"/>
        </w:rPr>
        <w:t xml:space="preserve">, foreslås det, at den enkelte region ved indstillingerne efter § </w:t>
      </w:r>
      <w:r w:rsidR="004C2F72">
        <w:rPr>
          <w:rFonts w:eastAsia="Times New Roman" w:cs="Times New Roman"/>
          <w:color w:val="000000"/>
          <w:lang w:eastAsia="da-DK"/>
        </w:rPr>
        <w:t>6</w:t>
      </w:r>
      <w:r w:rsidRPr="00577043">
        <w:rPr>
          <w:rFonts w:eastAsia="Times New Roman" w:cs="Times New Roman"/>
          <w:color w:val="000000"/>
          <w:lang w:eastAsia="da-DK"/>
        </w:rPr>
        <w:t>, stk. 1, nr. 2, skal indstille hhv. en lægperson og en person, som er aktiv inden for sundhedsvidenskabelig forskning. Et lægmedlem må ikke have aktuel tilknytning til sundhedsprofessionerne lige som et lægmedlem ikke må have en sundhedsvidenskabelig uddannelse (cand. med., cand. odont. og lign. ). Hvorvidt personer med andre uddannelser, herunder sundhedsuddannelser, der som udgangspunkt ikke er sundhedsvidenskabelige, kan udpeges som lægmedlemmer, må bero på, om de er ansat i sundhedsvæsenet. Dermed vil det være muligt at indstille personer som lægmedlemmer, selv om de har sundhedsfaglig uddannelse, under forudsætning af at de ikke aktuelt er tilknyttet sundhedsprofessionerne, f.</w:t>
      </w:r>
      <w:r>
        <w:rPr>
          <w:rFonts w:eastAsia="Times New Roman" w:cs="Times New Roman"/>
          <w:color w:val="000000"/>
          <w:lang w:eastAsia="da-DK"/>
        </w:rPr>
        <w:t>eks. i kraft af en ansættelse. Fx kan e</w:t>
      </w:r>
      <w:r w:rsidRPr="00577043">
        <w:rPr>
          <w:rFonts w:eastAsia="Times New Roman" w:cs="Times New Roman"/>
          <w:color w:val="000000"/>
          <w:lang w:eastAsia="da-DK"/>
        </w:rPr>
        <w:t>n social- og sundhedsassistent, der ikke længere er ansat inden for sundhedsvæsenet,</w:t>
      </w:r>
      <w:r>
        <w:rPr>
          <w:rFonts w:eastAsia="Times New Roman" w:cs="Times New Roman"/>
          <w:color w:val="000000"/>
          <w:lang w:eastAsia="da-DK"/>
        </w:rPr>
        <w:t xml:space="preserve"> lægemiddelindustrien m.v., </w:t>
      </w:r>
      <w:r w:rsidRPr="00577043">
        <w:rPr>
          <w:rFonts w:eastAsia="Times New Roman" w:cs="Times New Roman"/>
          <w:color w:val="000000"/>
          <w:lang w:eastAsia="da-DK"/>
        </w:rPr>
        <w:t>være lægmedlem.”</w:t>
      </w:r>
    </w:p>
    <w:p w14:paraId="01C60E8C" w14:textId="77777777" w:rsidR="00E476F6" w:rsidRPr="00577043" w:rsidRDefault="00E476F6" w:rsidP="00E476F6">
      <w:pPr>
        <w:rPr>
          <w:rFonts w:eastAsia="Times New Roman" w:cs="Times New Roman"/>
          <w:color w:val="000000"/>
          <w:lang w:eastAsia="da-DK"/>
        </w:rPr>
      </w:pPr>
    </w:p>
    <w:p w14:paraId="2628C683" w14:textId="77777777" w:rsidR="00E476F6" w:rsidRPr="00577043" w:rsidRDefault="00E476F6" w:rsidP="00E476F6">
      <w:pPr>
        <w:rPr>
          <w:rFonts w:eastAsia="Times New Roman" w:cs="Times New Roman"/>
          <w:color w:val="000000"/>
          <w:lang w:eastAsia="da-DK"/>
        </w:rPr>
      </w:pPr>
      <w:r w:rsidRPr="00577043">
        <w:rPr>
          <w:rFonts w:eastAsia="Times New Roman" w:cs="Times New Roman"/>
          <w:color w:val="000000"/>
          <w:lang w:eastAsia="da-DK"/>
        </w:rPr>
        <w:t xml:space="preserve">Det foreslås med </w:t>
      </w:r>
      <w:r w:rsidRPr="00AE2B5D">
        <w:rPr>
          <w:rFonts w:eastAsia="Times New Roman" w:cs="Times New Roman"/>
          <w:i/>
          <w:color w:val="000000"/>
          <w:lang w:eastAsia="da-DK"/>
        </w:rPr>
        <w:t xml:space="preserve">§ </w:t>
      </w:r>
      <w:r w:rsidR="004C2F72">
        <w:rPr>
          <w:rFonts w:eastAsia="Times New Roman" w:cs="Times New Roman"/>
          <w:i/>
          <w:color w:val="000000"/>
          <w:lang w:eastAsia="da-DK"/>
        </w:rPr>
        <w:t>6</w:t>
      </w:r>
      <w:r w:rsidRPr="00AE2B5D">
        <w:rPr>
          <w:rFonts w:eastAsia="Times New Roman" w:cs="Times New Roman"/>
          <w:i/>
          <w:color w:val="000000"/>
          <w:lang w:eastAsia="da-DK"/>
        </w:rPr>
        <w:t>, stk. 5</w:t>
      </w:r>
      <w:r w:rsidRPr="00577043">
        <w:rPr>
          <w:rFonts w:eastAsia="Times New Roman" w:cs="Times New Roman"/>
          <w:color w:val="000000"/>
          <w:lang w:eastAsia="da-DK"/>
        </w:rPr>
        <w:t xml:space="preserve">, at de enkelte komiteer består af 8 medlemmer, hvoraf 4 skal være lægpersoner og 4 - inkl. formanden - skal være personer, som er aktive inden for sundhedsvidenskabelig forskning. </w:t>
      </w:r>
    </w:p>
    <w:p w14:paraId="0554452B" w14:textId="77777777" w:rsidR="00E476F6" w:rsidRPr="00577043" w:rsidRDefault="00E476F6" w:rsidP="00E476F6">
      <w:pPr>
        <w:rPr>
          <w:rFonts w:eastAsia="Times New Roman" w:cs="Times New Roman"/>
          <w:color w:val="000000"/>
          <w:lang w:eastAsia="da-DK"/>
        </w:rPr>
      </w:pPr>
    </w:p>
    <w:p w14:paraId="0CEE483C" w14:textId="77777777" w:rsidR="00E476F6" w:rsidRPr="00577043" w:rsidRDefault="00E476F6" w:rsidP="00E476F6">
      <w:pPr>
        <w:rPr>
          <w:rFonts w:eastAsia="Times New Roman" w:cs="Times New Roman"/>
          <w:color w:val="000000"/>
          <w:lang w:eastAsia="da-DK"/>
        </w:rPr>
      </w:pPr>
      <w:r w:rsidRPr="00577043">
        <w:rPr>
          <w:rFonts w:eastAsia="Times New Roman" w:cs="Times New Roman"/>
          <w:color w:val="000000"/>
          <w:lang w:eastAsia="da-DK"/>
        </w:rPr>
        <w:t xml:space="preserve">Med den foreslåede § </w:t>
      </w:r>
      <w:r w:rsidR="004C2F72">
        <w:rPr>
          <w:rFonts w:eastAsia="Times New Roman" w:cs="Times New Roman"/>
          <w:color w:val="000000"/>
          <w:lang w:eastAsia="da-DK"/>
        </w:rPr>
        <w:t>6</w:t>
      </w:r>
      <w:r w:rsidRPr="00577043">
        <w:rPr>
          <w:rFonts w:eastAsia="Times New Roman" w:cs="Times New Roman"/>
          <w:color w:val="000000"/>
          <w:lang w:eastAsia="da-DK"/>
        </w:rPr>
        <w:t>, stk. 5, skal det ved udpegningen af medlemmer til komiteerne desuden sikres, at der blandt de udpegede er lige mange mænd og kvinder.</w:t>
      </w:r>
    </w:p>
    <w:p w14:paraId="2C55CF75" w14:textId="77777777" w:rsidR="00E476F6" w:rsidRPr="00577043" w:rsidRDefault="00E476F6" w:rsidP="00E476F6">
      <w:pPr>
        <w:rPr>
          <w:rFonts w:eastAsia="Times New Roman" w:cs="Times New Roman"/>
          <w:color w:val="000000"/>
          <w:lang w:eastAsia="da-DK"/>
        </w:rPr>
      </w:pPr>
    </w:p>
    <w:p w14:paraId="7304950A" w14:textId="77777777" w:rsidR="00E476F6" w:rsidRPr="00577043" w:rsidRDefault="00E476F6" w:rsidP="00E476F6">
      <w:pPr>
        <w:rPr>
          <w:rFonts w:eastAsia="Times New Roman" w:cs="Times New Roman"/>
          <w:color w:val="000000"/>
          <w:lang w:eastAsia="da-DK"/>
        </w:rPr>
      </w:pPr>
      <w:r w:rsidRPr="00577043">
        <w:rPr>
          <w:rFonts w:eastAsia="Times New Roman" w:cs="Times New Roman"/>
          <w:color w:val="000000"/>
          <w:lang w:eastAsia="da-DK"/>
        </w:rPr>
        <w:t xml:space="preserve">Sundheds- og ældreministeren skal ved udpegningen sikre, at personer der validerer og vurderer ansøgninger </w:t>
      </w:r>
      <w:r w:rsidR="00574B02">
        <w:rPr>
          <w:rFonts w:eastAsia="Times New Roman" w:cs="Times New Roman"/>
          <w:color w:val="000000"/>
          <w:lang w:eastAsia="da-DK"/>
        </w:rPr>
        <w:t>om</w:t>
      </w:r>
      <w:r w:rsidRPr="00577043">
        <w:rPr>
          <w:rFonts w:eastAsia="Times New Roman" w:cs="Times New Roman"/>
          <w:color w:val="000000"/>
          <w:lang w:eastAsia="da-DK"/>
        </w:rPr>
        <w:t xml:space="preserve"> lægemiddelforsøg, ikke har interessekonflikter, at de er uafhængige af sponsor, stedet for det kliniske forsøg, de involverede investigatorer og af de personer, som finansierer det kliniske forsøg, samt at de ikke er under anden utilbørlig påvirkning, jf. artikel 9 i forordningen.</w:t>
      </w:r>
    </w:p>
    <w:p w14:paraId="11D6A329" w14:textId="77777777" w:rsidR="00E476F6" w:rsidRPr="00577043" w:rsidRDefault="00E476F6" w:rsidP="00E476F6">
      <w:pPr>
        <w:rPr>
          <w:rFonts w:eastAsia="Times New Roman" w:cs="Times New Roman"/>
          <w:color w:val="000000"/>
          <w:lang w:eastAsia="da-DK"/>
        </w:rPr>
      </w:pPr>
    </w:p>
    <w:p w14:paraId="723E1F8D" w14:textId="77777777" w:rsidR="00E476F6" w:rsidRPr="00577043" w:rsidRDefault="00E476F6" w:rsidP="00E476F6">
      <w:pPr>
        <w:rPr>
          <w:rFonts w:eastAsia="Times New Roman" w:cs="Times New Roman"/>
          <w:color w:val="000000"/>
          <w:lang w:eastAsia="da-DK"/>
        </w:rPr>
      </w:pPr>
      <w:r w:rsidRPr="00577043">
        <w:rPr>
          <w:rFonts w:eastAsia="Times New Roman" w:cs="Times New Roman"/>
          <w:color w:val="000000"/>
          <w:lang w:eastAsia="da-DK"/>
        </w:rPr>
        <w:t xml:space="preserve">Det foreslås med </w:t>
      </w:r>
      <w:r w:rsidRPr="00AE2B5D">
        <w:rPr>
          <w:rFonts w:eastAsia="Times New Roman" w:cs="Times New Roman"/>
          <w:i/>
          <w:color w:val="000000"/>
          <w:lang w:eastAsia="da-DK"/>
        </w:rPr>
        <w:t xml:space="preserve">§ </w:t>
      </w:r>
      <w:r w:rsidR="007D5D70">
        <w:rPr>
          <w:rFonts w:eastAsia="Times New Roman" w:cs="Times New Roman"/>
          <w:i/>
          <w:color w:val="000000"/>
          <w:lang w:eastAsia="da-DK"/>
        </w:rPr>
        <w:t>6</w:t>
      </w:r>
      <w:r w:rsidRPr="00AE2B5D">
        <w:rPr>
          <w:rFonts w:eastAsia="Times New Roman" w:cs="Times New Roman"/>
          <w:i/>
          <w:color w:val="000000"/>
          <w:lang w:eastAsia="da-DK"/>
        </w:rPr>
        <w:t>, stk. 6</w:t>
      </w:r>
      <w:r w:rsidRPr="00577043">
        <w:rPr>
          <w:rFonts w:eastAsia="Times New Roman" w:cs="Times New Roman"/>
          <w:color w:val="000000"/>
          <w:lang w:eastAsia="da-DK"/>
        </w:rPr>
        <w:t xml:space="preserve">, at komiteen selv vælger sin næstformand blandt de udpegede medlemmer. </w:t>
      </w:r>
    </w:p>
    <w:p w14:paraId="544D6540" w14:textId="77777777" w:rsidR="00E476F6" w:rsidRPr="00577043" w:rsidRDefault="00E476F6" w:rsidP="00E476F6">
      <w:pPr>
        <w:rPr>
          <w:rFonts w:eastAsia="Times New Roman" w:cs="Times New Roman"/>
          <w:color w:val="000000"/>
          <w:lang w:eastAsia="da-DK"/>
        </w:rPr>
      </w:pPr>
    </w:p>
    <w:p w14:paraId="383219FF" w14:textId="77777777" w:rsidR="00E476F6" w:rsidRDefault="00E476F6" w:rsidP="00E476F6">
      <w:pPr>
        <w:rPr>
          <w:rFonts w:eastAsia="Times New Roman" w:cs="Times New Roman"/>
          <w:color w:val="000000"/>
          <w:lang w:eastAsia="da-DK"/>
        </w:rPr>
      </w:pPr>
      <w:r w:rsidRPr="00577043">
        <w:rPr>
          <w:rFonts w:eastAsia="Times New Roman" w:cs="Times New Roman"/>
          <w:color w:val="000000"/>
          <w:lang w:eastAsia="da-DK"/>
        </w:rPr>
        <w:t xml:space="preserve">Det foreslås, at de videnskabsetiske lægemiddelkomiteer udarbejder forslag til en forretningsorden, hvilket svarer til princippet for DNVK. Er der nedsat flere komiteer, skal komiteerne udarbejde en sådan forretningsorden i samarbejde, således at ansøgningerne får en ensartet behandling. Desuden vil det være hensigtsmæssigt med en enkelt forretningsorden, da sekretariatsbetjeningen af komiteerne varetages af et enkelt sekretariat. Ved godkendelsen lægges vægt på, om udkastet er i overensstemmelse med forordningens og lovens intentioner. Det forudsættes, at der i forretningsordenen bl.a. fastsættes regler om beslutningsdygtighed, brug af suppleanter, sagsbehandling- og afgørelsesprocedurer, brug af sagkyndig bistand og andre væsentlige forhold vedrørende komiteens virke. </w:t>
      </w:r>
    </w:p>
    <w:p w14:paraId="751C2BFE" w14:textId="77777777" w:rsidR="00E476F6" w:rsidRDefault="00E476F6" w:rsidP="00E476F6">
      <w:pPr>
        <w:rPr>
          <w:rFonts w:eastAsia="Times New Roman" w:cs="Times New Roman"/>
          <w:color w:val="000000"/>
          <w:lang w:eastAsia="da-DK"/>
        </w:rPr>
      </w:pPr>
    </w:p>
    <w:p w14:paraId="54D09FBD" w14:textId="77777777" w:rsidR="00E476F6" w:rsidRPr="002263D5" w:rsidRDefault="00E476F6" w:rsidP="00E476F6">
      <w:pPr>
        <w:rPr>
          <w:rFonts w:eastAsia="Times New Roman" w:cs="Times New Roman"/>
          <w:color w:val="000000"/>
          <w:lang w:eastAsia="da-DK"/>
        </w:rPr>
      </w:pPr>
      <w:r>
        <w:rPr>
          <w:rFonts w:eastAsia="Times New Roman" w:cs="Times New Roman"/>
          <w:i/>
          <w:color w:val="000000"/>
          <w:lang w:eastAsia="da-DK"/>
        </w:rPr>
        <w:t xml:space="preserve">Det forslås med § </w:t>
      </w:r>
      <w:r w:rsidR="007D5D70">
        <w:rPr>
          <w:rFonts w:eastAsia="Times New Roman" w:cs="Times New Roman"/>
          <w:i/>
          <w:color w:val="000000"/>
          <w:lang w:eastAsia="da-DK"/>
        </w:rPr>
        <w:t>6, stk</w:t>
      </w:r>
      <w:r w:rsidR="00973643">
        <w:rPr>
          <w:rFonts w:eastAsia="Times New Roman" w:cs="Times New Roman"/>
          <w:i/>
          <w:color w:val="000000"/>
          <w:lang w:eastAsia="da-DK"/>
        </w:rPr>
        <w:t>.</w:t>
      </w:r>
      <w:r w:rsidR="007D5D70">
        <w:rPr>
          <w:rFonts w:eastAsia="Times New Roman" w:cs="Times New Roman"/>
          <w:i/>
          <w:color w:val="000000"/>
          <w:lang w:eastAsia="da-DK"/>
        </w:rPr>
        <w:t xml:space="preserve"> 7</w:t>
      </w:r>
      <w:r>
        <w:rPr>
          <w:rFonts w:eastAsia="Times New Roman" w:cs="Times New Roman"/>
          <w:color w:val="000000"/>
          <w:lang w:eastAsia="da-DK"/>
        </w:rPr>
        <w:t xml:space="preserve">, at de videnskabsetiske lægemiddelkomiteer i fællesskab kan nedsætte et eller flere underudvalg, som kan træffe afgørelse, jf. § 5 a, stk. 3, og § 5 b, stk. 2, og vurdere, om de videnskabsetiske er aspekter af del I af vurderingsrapporten er opfyldt, jf. § 5 a, stk. 5. Dette vil være relevant, når det ikke er muligt for alle medlemmer af en komité at deltage i behandlingen af en ansøgning, hvilket typisk vil være ferieperioder. </w:t>
      </w:r>
    </w:p>
    <w:p w14:paraId="628D0839" w14:textId="77777777" w:rsidR="00E476F6" w:rsidRDefault="00E476F6" w:rsidP="00E476F6">
      <w:pPr>
        <w:rPr>
          <w:rFonts w:eastAsia="Times New Roman" w:cs="Times New Roman"/>
          <w:color w:val="000000"/>
          <w:lang w:eastAsia="da-DK"/>
        </w:rPr>
      </w:pPr>
    </w:p>
    <w:p w14:paraId="5781687E" w14:textId="77777777" w:rsidR="00E476F6" w:rsidRPr="00577043" w:rsidRDefault="00E476F6" w:rsidP="00E476F6">
      <w:pPr>
        <w:rPr>
          <w:rFonts w:eastAsia="Times New Roman" w:cs="Times New Roman"/>
          <w:color w:val="000000"/>
          <w:lang w:eastAsia="da-DK"/>
        </w:rPr>
      </w:pPr>
      <w:r w:rsidRPr="00577043">
        <w:rPr>
          <w:rFonts w:eastAsia="Times New Roman" w:cs="Times New Roman"/>
          <w:color w:val="000000"/>
          <w:lang w:eastAsia="da-DK"/>
        </w:rPr>
        <w:t xml:space="preserve">Forretningsordenen kan først træde i kraft efter godkendelse af sundheds- og ældreministeren, jf. </w:t>
      </w:r>
      <w:r>
        <w:rPr>
          <w:rFonts w:eastAsia="Times New Roman" w:cs="Times New Roman"/>
          <w:color w:val="000000"/>
          <w:lang w:eastAsia="da-DK"/>
        </w:rPr>
        <w:t xml:space="preserve">den foreslåede </w:t>
      </w:r>
      <w:r w:rsidRPr="00AE2B5D">
        <w:rPr>
          <w:rFonts w:eastAsia="Times New Roman" w:cs="Times New Roman"/>
          <w:i/>
          <w:color w:val="000000"/>
          <w:lang w:eastAsia="da-DK"/>
        </w:rPr>
        <w:t xml:space="preserve">§ 10, stk. </w:t>
      </w:r>
      <w:r w:rsidR="007D5D70">
        <w:rPr>
          <w:rFonts w:eastAsia="Times New Roman" w:cs="Times New Roman"/>
          <w:i/>
          <w:color w:val="000000"/>
          <w:lang w:eastAsia="da-DK"/>
        </w:rPr>
        <w:t>8</w:t>
      </w:r>
      <w:r w:rsidRPr="00577043">
        <w:rPr>
          <w:rFonts w:eastAsia="Times New Roman" w:cs="Times New Roman"/>
          <w:color w:val="000000"/>
          <w:lang w:eastAsia="da-DK"/>
        </w:rPr>
        <w:t>.</w:t>
      </w:r>
    </w:p>
    <w:p w14:paraId="1A92984C" w14:textId="77777777" w:rsidR="00E476F6" w:rsidRPr="00577043" w:rsidRDefault="00E476F6" w:rsidP="00E476F6">
      <w:pPr>
        <w:rPr>
          <w:rFonts w:eastAsia="Times New Roman" w:cs="Times New Roman"/>
          <w:color w:val="000000"/>
          <w:lang w:eastAsia="da-DK"/>
        </w:rPr>
      </w:pPr>
    </w:p>
    <w:p w14:paraId="04E94C04" w14:textId="77777777" w:rsidR="00E476F6" w:rsidRPr="00577043" w:rsidRDefault="00E476F6" w:rsidP="00E476F6">
      <w:pPr>
        <w:rPr>
          <w:rFonts w:eastAsia="Times New Roman" w:cs="Times New Roman"/>
          <w:color w:val="000000"/>
          <w:lang w:eastAsia="da-DK"/>
        </w:rPr>
      </w:pPr>
      <w:r w:rsidRPr="00577043">
        <w:rPr>
          <w:rFonts w:eastAsia="Times New Roman" w:cs="Times New Roman"/>
          <w:color w:val="000000"/>
          <w:lang w:eastAsia="da-DK"/>
        </w:rPr>
        <w:t xml:space="preserve">Medlemmerne af de videnskabsetiske lægemiddelkomiteer foreslås med </w:t>
      </w:r>
      <w:r w:rsidRPr="00AE2B5D">
        <w:rPr>
          <w:rFonts w:eastAsia="Times New Roman" w:cs="Times New Roman"/>
          <w:i/>
          <w:color w:val="000000"/>
          <w:lang w:eastAsia="da-DK"/>
        </w:rPr>
        <w:t xml:space="preserve">§ </w:t>
      </w:r>
      <w:r w:rsidR="007D5D70">
        <w:rPr>
          <w:rFonts w:eastAsia="Times New Roman" w:cs="Times New Roman"/>
          <w:i/>
          <w:color w:val="000000"/>
          <w:lang w:eastAsia="da-DK"/>
        </w:rPr>
        <w:t>6</w:t>
      </w:r>
      <w:r w:rsidRPr="00AE2B5D">
        <w:rPr>
          <w:rFonts w:eastAsia="Times New Roman" w:cs="Times New Roman"/>
          <w:i/>
          <w:color w:val="000000"/>
          <w:lang w:eastAsia="da-DK"/>
        </w:rPr>
        <w:t>, stk.</w:t>
      </w:r>
      <w:r w:rsidR="007D5D70">
        <w:rPr>
          <w:rFonts w:eastAsia="Times New Roman" w:cs="Times New Roman"/>
          <w:i/>
          <w:color w:val="000000"/>
          <w:lang w:eastAsia="da-DK"/>
        </w:rPr>
        <w:t>9</w:t>
      </w:r>
      <w:r w:rsidRPr="00577043">
        <w:rPr>
          <w:rFonts w:eastAsia="Times New Roman" w:cs="Times New Roman"/>
          <w:color w:val="000000"/>
          <w:lang w:eastAsia="da-DK"/>
        </w:rPr>
        <w:t xml:space="preserve">, udpeget for 4 år ad gangen efter samme kadence som valgperioden for de regionale råd, jf. dog § </w:t>
      </w:r>
      <w:r w:rsidR="007D5D70">
        <w:rPr>
          <w:rFonts w:eastAsia="Times New Roman" w:cs="Times New Roman"/>
          <w:color w:val="000000"/>
          <w:lang w:eastAsia="da-DK"/>
        </w:rPr>
        <w:t>6</w:t>
      </w:r>
      <w:r w:rsidRPr="00577043">
        <w:rPr>
          <w:rFonts w:eastAsia="Times New Roman" w:cs="Times New Roman"/>
          <w:color w:val="000000"/>
          <w:lang w:eastAsia="da-DK"/>
        </w:rPr>
        <w:t xml:space="preserve">, stk. 9, om en overgangsperiode i forbindelse med regionsvalg. Ligeledes kan genudpegning som i de regionale komiteer og DNVK ske to gange, hvormed medlemmerne kan have sæde i en videnskabsetisk lægemiddelkomité i maksimalt 3 valgperioder. Der er dog fastsat regler for den første udpegningsperiode, jf. bemærkningerne til § 10, stk. 9, nedenfor. </w:t>
      </w:r>
    </w:p>
    <w:p w14:paraId="0515F5F8" w14:textId="77777777" w:rsidR="00E476F6" w:rsidRPr="00577043" w:rsidRDefault="00E476F6" w:rsidP="00E476F6">
      <w:pPr>
        <w:rPr>
          <w:rFonts w:eastAsia="Times New Roman" w:cs="Times New Roman"/>
          <w:color w:val="000000"/>
          <w:lang w:eastAsia="da-DK"/>
        </w:rPr>
      </w:pPr>
    </w:p>
    <w:p w14:paraId="3689EDA2" w14:textId="77777777" w:rsidR="00E476F6" w:rsidRPr="00577043" w:rsidRDefault="00E476F6" w:rsidP="00E476F6">
      <w:pPr>
        <w:rPr>
          <w:rFonts w:eastAsia="Times New Roman" w:cs="Times New Roman"/>
          <w:color w:val="000000"/>
          <w:lang w:eastAsia="da-DK"/>
        </w:rPr>
      </w:pPr>
      <w:r w:rsidRPr="00577043">
        <w:rPr>
          <w:rFonts w:eastAsia="Times New Roman" w:cs="Times New Roman"/>
          <w:color w:val="000000"/>
          <w:lang w:eastAsia="da-DK"/>
        </w:rPr>
        <w:t>Det foreslås, at der kan udpeges suppleanter til de videnskabsetiske lægemiddelkomiteer – som det også gælder for de regionale komiteer og DNVK. Komiteernes forretningsorden bør indeholde retningslinjer for komiteernes bru</w:t>
      </w:r>
      <w:r>
        <w:rPr>
          <w:rFonts w:eastAsia="Times New Roman" w:cs="Times New Roman"/>
          <w:color w:val="000000"/>
          <w:lang w:eastAsia="da-DK"/>
        </w:rPr>
        <w:t>g af suppleanter. Der er</w:t>
      </w:r>
      <w:r w:rsidRPr="00577043">
        <w:rPr>
          <w:rFonts w:eastAsia="Times New Roman" w:cs="Times New Roman"/>
          <w:color w:val="000000"/>
          <w:lang w:eastAsia="da-DK"/>
        </w:rPr>
        <w:t xml:space="preserve"> ikke med forslaget fastsat et maksimum for antallet af gange, en person kan udpeges som suppleant for medlemmer af de videnskabsetiske lægemiddelkomiteer. </w:t>
      </w:r>
    </w:p>
    <w:p w14:paraId="646E1EB7" w14:textId="77777777" w:rsidR="00E476F6" w:rsidRPr="00577043" w:rsidRDefault="00E476F6" w:rsidP="00E476F6">
      <w:pPr>
        <w:rPr>
          <w:rFonts w:eastAsia="Times New Roman" w:cs="Times New Roman"/>
          <w:color w:val="000000"/>
          <w:lang w:eastAsia="da-DK"/>
        </w:rPr>
      </w:pPr>
      <w:r w:rsidRPr="00577043">
        <w:rPr>
          <w:rFonts w:eastAsia="Times New Roman" w:cs="Times New Roman"/>
          <w:color w:val="000000"/>
          <w:lang w:eastAsia="da-DK"/>
        </w:rPr>
        <w:t xml:space="preserve">Det foreslås med </w:t>
      </w:r>
      <w:r w:rsidRPr="00AE2B5D">
        <w:rPr>
          <w:rFonts w:eastAsia="Times New Roman" w:cs="Times New Roman"/>
          <w:i/>
          <w:color w:val="000000"/>
          <w:lang w:eastAsia="da-DK"/>
        </w:rPr>
        <w:t xml:space="preserve">§ </w:t>
      </w:r>
      <w:r w:rsidR="007D5D70">
        <w:rPr>
          <w:rFonts w:eastAsia="Times New Roman" w:cs="Times New Roman"/>
          <w:i/>
          <w:color w:val="000000"/>
          <w:lang w:eastAsia="da-DK"/>
        </w:rPr>
        <w:t>6</w:t>
      </w:r>
      <w:r w:rsidRPr="00AE2B5D">
        <w:rPr>
          <w:rFonts w:eastAsia="Times New Roman" w:cs="Times New Roman"/>
          <w:i/>
          <w:color w:val="000000"/>
          <w:lang w:eastAsia="da-DK"/>
        </w:rPr>
        <w:t>, stk. 9</w:t>
      </w:r>
      <w:r w:rsidRPr="00577043">
        <w:rPr>
          <w:rFonts w:eastAsia="Times New Roman" w:cs="Times New Roman"/>
          <w:color w:val="000000"/>
          <w:lang w:eastAsia="da-DK"/>
        </w:rPr>
        <w:t>, at den afgående komité fortsætter sit virke i overgangsperioden fra et regionalrådsvalg og frem til en nyudnævnt komité har konstitueret sig. Herved sikres det, at de videnskabsetiske lægemiddelkomiteer er funktionsdygtige også i perioden umiddelbart efter et valg og nyudpegning, hvilket er nødvendigt for, at komiteen kan overholde forordningens frister for behandling af ansøgninger.</w:t>
      </w:r>
    </w:p>
    <w:p w14:paraId="6F9D3B87" w14:textId="77777777" w:rsidR="00E476F6" w:rsidRPr="00577043" w:rsidRDefault="00E476F6" w:rsidP="00E476F6">
      <w:pPr>
        <w:rPr>
          <w:rFonts w:eastAsia="Times New Roman" w:cs="Times New Roman"/>
          <w:color w:val="000000"/>
          <w:lang w:eastAsia="da-DK"/>
        </w:rPr>
      </w:pPr>
    </w:p>
    <w:p w14:paraId="7E019D34" w14:textId="77777777" w:rsidR="00E476F6" w:rsidRPr="00577043" w:rsidRDefault="00E476F6" w:rsidP="00E476F6">
      <w:pPr>
        <w:rPr>
          <w:rFonts w:eastAsia="Times New Roman" w:cs="Times New Roman"/>
          <w:color w:val="000000"/>
          <w:lang w:eastAsia="da-DK"/>
        </w:rPr>
      </w:pPr>
      <w:r w:rsidRPr="00577043">
        <w:rPr>
          <w:rFonts w:eastAsia="Times New Roman" w:cs="Times New Roman"/>
          <w:color w:val="000000"/>
          <w:lang w:eastAsia="da-DK"/>
        </w:rPr>
        <w:t xml:space="preserve">Der foreslås i overensstemmelse med komitélovens bestemmelse </w:t>
      </w:r>
      <w:r w:rsidR="00574B02">
        <w:rPr>
          <w:rFonts w:eastAsia="Times New Roman" w:cs="Times New Roman"/>
          <w:color w:val="000000"/>
          <w:lang w:eastAsia="da-DK"/>
        </w:rPr>
        <w:t>om</w:t>
      </w:r>
      <w:r w:rsidRPr="00577043">
        <w:rPr>
          <w:rFonts w:eastAsia="Times New Roman" w:cs="Times New Roman"/>
          <w:color w:val="000000"/>
          <w:lang w:eastAsia="da-DK"/>
        </w:rPr>
        <w:t xml:space="preserve"> regionale komiteer en bemyndigelse til, at sundheds- og ældreministeren ved bekendtgørelse kan fastsætte nærmere regler om, hvilke forskningsfaglige fora, der skal indstille forskningsaktive medlemmer til komiteerne, jf. den forslåede </w:t>
      </w:r>
      <w:r w:rsidRPr="00AE2B5D">
        <w:rPr>
          <w:rFonts w:eastAsia="Times New Roman" w:cs="Times New Roman"/>
          <w:i/>
          <w:color w:val="000000"/>
          <w:lang w:eastAsia="da-DK"/>
        </w:rPr>
        <w:t xml:space="preserve">§ </w:t>
      </w:r>
      <w:r w:rsidR="007D5D70">
        <w:rPr>
          <w:rFonts w:eastAsia="Times New Roman" w:cs="Times New Roman"/>
          <w:i/>
          <w:color w:val="000000"/>
          <w:lang w:eastAsia="da-DK"/>
        </w:rPr>
        <w:t>6</w:t>
      </w:r>
      <w:r w:rsidRPr="00AE2B5D">
        <w:rPr>
          <w:rFonts w:eastAsia="Times New Roman" w:cs="Times New Roman"/>
          <w:i/>
          <w:color w:val="000000"/>
          <w:lang w:eastAsia="da-DK"/>
        </w:rPr>
        <w:t>, stk. 1</w:t>
      </w:r>
      <w:r w:rsidR="007D5D70">
        <w:rPr>
          <w:rFonts w:eastAsia="Times New Roman" w:cs="Times New Roman"/>
          <w:i/>
          <w:color w:val="000000"/>
          <w:lang w:eastAsia="da-DK"/>
        </w:rPr>
        <w:t>0</w:t>
      </w:r>
      <w:r w:rsidRPr="00577043">
        <w:rPr>
          <w:rFonts w:eastAsia="Times New Roman" w:cs="Times New Roman"/>
          <w:color w:val="000000"/>
          <w:lang w:eastAsia="da-DK"/>
        </w:rPr>
        <w:t xml:space="preserve">. Bemyndigelsen efter komitéloven er udnyttet ved bekendtgørelse nr. 178 af 28. februar 2012 om indstilling af forskningsaktive medlemmer til de regionale videnskabsetiske komiteer og vederlag til medlemmer af de regionale videnskabsetiske komiteer. I medfør heraf er kompetencen til at indstille personer, som er aktive inden for den sundhedsvidenskabelige forskning, som medlemmer af de regionale videnskabsetiske komiteer, placeret hos de sundhedsvidenskabelige, forskningsfaglige fora ved Københavns Universitet, Aarhus Universitet, Syddansk Universitet og Aalborg Universitet. Indstillingsretten overgår til Det Frie Forskningsråd og Det Strategiske Forskningsråd i forening, hvis et eller flere af de i stk. 1 nævnte forskningsfaglige fora ikke ser sig i stand til at indstille personer, som er aktive inden for den sundhedsvidenskabelige forskning, til medlemmer af de regionale videnskabsetiske komiteer, eller hvis et eller flere af disse fora nedlægges eller på anden vis ophører. Bemyndigelsen i denne lov vil blive benyttet på samme måde som i komitélovens bemyndigelse </w:t>
      </w:r>
      <w:r w:rsidR="00574B02">
        <w:rPr>
          <w:rFonts w:eastAsia="Times New Roman" w:cs="Times New Roman"/>
          <w:color w:val="000000"/>
          <w:lang w:eastAsia="da-DK"/>
        </w:rPr>
        <w:t>om</w:t>
      </w:r>
      <w:r w:rsidRPr="00577043">
        <w:rPr>
          <w:rFonts w:eastAsia="Times New Roman" w:cs="Times New Roman"/>
          <w:color w:val="000000"/>
          <w:lang w:eastAsia="da-DK"/>
        </w:rPr>
        <w:t xml:space="preserve"> de regionale komiteer. Den foreslåede metode for </w:t>
      </w:r>
      <w:r w:rsidRPr="00577043">
        <w:rPr>
          <w:rFonts w:eastAsia="Times New Roman" w:cs="Times New Roman"/>
          <w:color w:val="000000"/>
          <w:lang w:eastAsia="da-DK"/>
        </w:rPr>
        <w:lastRenderedPageBreak/>
        <w:t xml:space="preserve">udpegning til de videnskabsetiske lægemiddelkomiteer tilsigter at kvalificere den sundhedsfaglige og forskningsfaglige repræsentation i komiteerne. </w:t>
      </w:r>
    </w:p>
    <w:p w14:paraId="1EF8DB23" w14:textId="77777777" w:rsidR="00E476F6" w:rsidRPr="00577043" w:rsidRDefault="00E476F6" w:rsidP="00E476F6">
      <w:pPr>
        <w:rPr>
          <w:rFonts w:eastAsia="Times New Roman" w:cs="Times New Roman"/>
          <w:color w:val="000000"/>
          <w:lang w:eastAsia="da-DK"/>
        </w:rPr>
      </w:pPr>
    </w:p>
    <w:p w14:paraId="4BFBA24F" w14:textId="77777777" w:rsidR="00E476F6" w:rsidRPr="00577043" w:rsidRDefault="00E476F6" w:rsidP="00E476F6">
      <w:pPr>
        <w:rPr>
          <w:rFonts w:eastAsia="Times New Roman" w:cs="Times New Roman"/>
          <w:color w:val="000000"/>
          <w:lang w:eastAsia="da-DK"/>
        </w:rPr>
      </w:pPr>
      <w:r w:rsidRPr="00577043">
        <w:rPr>
          <w:rFonts w:eastAsia="Times New Roman" w:cs="Times New Roman"/>
          <w:color w:val="000000"/>
          <w:lang w:eastAsia="da-DK"/>
        </w:rPr>
        <w:t xml:space="preserve">Udover indstillingen fra de forskningsfaglige fora stilles ikke krav om øvrige særlige kompetencer, eksempelvis særlige specialer m.v. i komiteerne. Der kan dog, i det omfang det er muligt, udpeges personer fra forskningsfora med særlige kompetencer, som vil være nødvendige i forbindelse med visse ansøgninger som fx pædiatri, når forsøg involverer børn. Når de nødvendige kompetencer ikke er til stede blandt medlemmerne i komiteerne forudsættes det, at der indhentes ekspertudtalelser ved konkret behov herfor. </w:t>
      </w:r>
    </w:p>
    <w:p w14:paraId="0F8E8D50" w14:textId="77777777" w:rsidR="00E476F6" w:rsidRPr="00577043" w:rsidRDefault="00E476F6" w:rsidP="00E476F6">
      <w:pPr>
        <w:rPr>
          <w:rFonts w:eastAsia="Times New Roman" w:cs="Times New Roman"/>
          <w:color w:val="000000"/>
          <w:lang w:eastAsia="da-DK"/>
        </w:rPr>
      </w:pPr>
    </w:p>
    <w:p w14:paraId="6ACFFD04" w14:textId="77777777" w:rsidR="00E476F6" w:rsidRPr="00577043" w:rsidRDefault="00E476F6" w:rsidP="00E476F6">
      <w:r w:rsidRPr="00577043">
        <w:rPr>
          <w:rFonts w:eastAsia="Times New Roman" w:cs="Times New Roman"/>
          <w:color w:val="000000"/>
          <w:lang w:eastAsia="da-DK"/>
        </w:rPr>
        <w:t xml:space="preserve">Endelig foreslås det med </w:t>
      </w:r>
      <w:r w:rsidRPr="00AE2B5D">
        <w:rPr>
          <w:rFonts w:eastAsia="Times New Roman" w:cs="Times New Roman"/>
          <w:i/>
          <w:color w:val="000000"/>
          <w:lang w:eastAsia="da-DK"/>
        </w:rPr>
        <w:t xml:space="preserve">§ </w:t>
      </w:r>
      <w:r w:rsidR="007D5D70">
        <w:rPr>
          <w:rFonts w:eastAsia="Times New Roman" w:cs="Times New Roman"/>
          <w:i/>
          <w:color w:val="000000"/>
          <w:lang w:eastAsia="da-DK"/>
        </w:rPr>
        <w:t>6</w:t>
      </w:r>
      <w:r w:rsidRPr="00AE2B5D">
        <w:rPr>
          <w:rFonts w:eastAsia="Times New Roman" w:cs="Times New Roman"/>
          <w:i/>
          <w:color w:val="000000"/>
          <w:lang w:eastAsia="da-DK"/>
        </w:rPr>
        <w:t>, stk. 11</w:t>
      </w:r>
      <w:r w:rsidRPr="00577043">
        <w:rPr>
          <w:rFonts w:eastAsia="Times New Roman" w:cs="Times New Roman"/>
          <w:color w:val="000000"/>
          <w:lang w:eastAsia="da-DK"/>
        </w:rPr>
        <w:t>, at sundheds- og ældreministeren</w:t>
      </w:r>
      <w:r w:rsidRPr="00577043">
        <w:t xml:space="preserve"> kan fastsætte nærmere regler om krav til dokumentation for, at medlemmerne af den videnskabsetiske lægemiddelkomité ikke har interessekonflikter, at de er uafhængige af sponsor, stedet for det kliniske forsøg, de involverede investigatorer og af de personer, som finansierer det kliniske forsøg, samt at de ikke er under anden utilbørlig påvirkning, jf. artikel 9 i forordningen. Bestemmelsen vil blive benyttet til at fastsætte, at medlemmer af den videnskabsetiske lægemiddelkomité skal afgive en erklæring om uafhængighed af interessekonflikter.</w:t>
      </w:r>
    </w:p>
    <w:p w14:paraId="482A832E" w14:textId="77777777" w:rsidR="00E476F6" w:rsidRPr="00577043" w:rsidRDefault="00E476F6" w:rsidP="00E476F6">
      <w:pPr>
        <w:rPr>
          <w:rFonts w:eastAsia="Times New Roman" w:cs="Times New Roman"/>
          <w:color w:val="000000"/>
          <w:lang w:eastAsia="da-DK"/>
        </w:rPr>
      </w:pPr>
    </w:p>
    <w:p w14:paraId="21F757F3" w14:textId="77777777" w:rsidR="00E476F6" w:rsidRDefault="00E476F6" w:rsidP="00E476F6">
      <w:pPr>
        <w:rPr>
          <w:rFonts w:eastAsia="Times New Roman" w:cs="Times New Roman"/>
          <w:iCs/>
          <w:color w:val="000000"/>
          <w:lang w:eastAsia="da-DK"/>
        </w:rPr>
      </w:pPr>
      <w:r w:rsidRPr="00577043">
        <w:rPr>
          <w:rFonts w:eastAsia="Times New Roman" w:cs="Times New Roman"/>
          <w:iCs/>
          <w:color w:val="000000"/>
          <w:lang w:eastAsia="da-DK"/>
        </w:rPr>
        <w:t>Der henvises i øvrigt til afsnit 2.1. i de almindelige bemærkninger.</w:t>
      </w:r>
    </w:p>
    <w:p w14:paraId="28F5CFC2" w14:textId="77777777" w:rsidR="00E476F6" w:rsidRPr="00577043" w:rsidRDefault="00E476F6" w:rsidP="00E476F6">
      <w:pPr>
        <w:rPr>
          <w:rFonts w:eastAsia="Times New Roman" w:cs="Times New Roman"/>
          <w:iCs/>
          <w:color w:val="000000"/>
          <w:lang w:eastAsia="da-DK"/>
        </w:rPr>
      </w:pPr>
    </w:p>
    <w:p w14:paraId="79300E14" w14:textId="77777777" w:rsidR="00E476F6" w:rsidRPr="00577043" w:rsidRDefault="00E476F6" w:rsidP="00E476F6">
      <w:pPr>
        <w:pStyle w:val="Overskrift2"/>
        <w:jc w:val="left"/>
        <w:rPr>
          <w:rFonts w:eastAsia="Times New Roman" w:cs="Times New Roman"/>
          <w:i/>
          <w:lang w:eastAsia="da-DK"/>
        </w:rPr>
      </w:pPr>
      <w:r w:rsidRPr="00577043">
        <w:rPr>
          <w:rFonts w:eastAsia="Times New Roman" w:cs="Times New Roman"/>
          <w:iCs/>
          <w:lang w:eastAsia="da-DK"/>
        </w:rPr>
        <w:t xml:space="preserve">Til § </w:t>
      </w:r>
      <w:r w:rsidR="004B6228">
        <w:rPr>
          <w:rFonts w:eastAsia="Times New Roman" w:cs="Times New Roman"/>
          <w:iCs/>
          <w:lang w:eastAsia="da-DK"/>
        </w:rPr>
        <w:t>7</w:t>
      </w:r>
      <w:r w:rsidRPr="00577043">
        <w:rPr>
          <w:rFonts w:eastAsia="Times New Roman" w:cs="Times New Roman"/>
          <w:iCs/>
          <w:lang w:eastAsia="da-DK"/>
        </w:rPr>
        <w:t xml:space="preserve"> </w:t>
      </w:r>
      <w:r w:rsidRPr="00577043">
        <w:rPr>
          <w:rFonts w:eastAsia="Times New Roman" w:cs="Times New Roman"/>
          <w:lang w:eastAsia="da-DK"/>
        </w:rPr>
        <w:t>[Beslutningsprocedure i de videnskabsetiske lægemiddelkomiteer]</w:t>
      </w:r>
    </w:p>
    <w:p w14:paraId="439915D8" w14:textId="77777777" w:rsidR="00E476F6" w:rsidRPr="00577043" w:rsidRDefault="00E476F6" w:rsidP="00E476F6">
      <w:pPr>
        <w:rPr>
          <w:rFonts w:eastAsia="Times New Roman" w:cs="Times New Roman"/>
          <w:color w:val="000000"/>
          <w:lang w:eastAsia="da-DK"/>
        </w:rPr>
      </w:pPr>
      <w:r w:rsidRPr="00577043">
        <w:rPr>
          <w:rFonts w:eastAsia="Times New Roman" w:cs="Times New Roman"/>
          <w:bCs/>
          <w:color w:val="000000"/>
          <w:lang w:eastAsia="da-DK"/>
        </w:rPr>
        <w:t xml:space="preserve">Kompetenceområderne for de videnskabsetiske lægemiddelkomiteer er </w:t>
      </w:r>
      <w:r>
        <w:rPr>
          <w:rFonts w:eastAsia="Times New Roman" w:cs="Times New Roman"/>
          <w:bCs/>
          <w:color w:val="000000"/>
          <w:lang w:eastAsia="da-DK"/>
        </w:rPr>
        <w:t>fas</w:t>
      </w:r>
      <w:r w:rsidRPr="00577043">
        <w:rPr>
          <w:rFonts w:eastAsia="Times New Roman" w:cs="Times New Roman"/>
          <w:bCs/>
          <w:color w:val="000000"/>
          <w:lang w:eastAsia="da-DK"/>
        </w:rPr>
        <w:t xml:space="preserve">tsat i </w:t>
      </w:r>
      <w:r>
        <w:rPr>
          <w:rFonts w:eastAsia="Times New Roman" w:cs="Times New Roman"/>
          <w:bCs/>
          <w:color w:val="000000"/>
          <w:lang w:eastAsia="da-DK"/>
        </w:rPr>
        <w:t>lovforslagets</w:t>
      </w:r>
      <w:r w:rsidRPr="00577043">
        <w:rPr>
          <w:rFonts w:eastAsia="Times New Roman" w:cs="Times New Roman"/>
          <w:bCs/>
          <w:color w:val="000000"/>
          <w:lang w:eastAsia="da-DK"/>
        </w:rPr>
        <w:t xml:space="preserve"> § 5. </w:t>
      </w:r>
      <w:r>
        <w:rPr>
          <w:rFonts w:eastAsia="Times New Roman" w:cs="Times New Roman"/>
          <w:bCs/>
          <w:color w:val="000000"/>
          <w:lang w:eastAsia="da-DK"/>
        </w:rPr>
        <w:t xml:space="preserve"> </w:t>
      </w:r>
      <w:r w:rsidRPr="00577043">
        <w:rPr>
          <w:rFonts w:eastAsia="Times New Roman" w:cs="Times New Roman"/>
          <w:color w:val="000000"/>
          <w:lang w:eastAsia="da-DK"/>
        </w:rPr>
        <w:t xml:space="preserve">Med den foreslåede § 8 fastsættes komiteernes beslutningsprocedurer i forbindelse </w:t>
      </w:r>
      <w:r>
        <w:rPr>
          <w:rFonts w:eastAsia="Times New Roman" w:cs="Times New Roman"/>
          <w:color w:val="000000"/>
          <w:lang w:eastAsia="da-DK"/>
        </w:rPr>
        <w:t xml:space="preserve">med </w:t>
      </w:r>
      <w:r w:rsidRPr="00577043">
        <w:rPr>
          <w:rFonts w:eastAsia="Times New Roman" w:cs="Times New Roman"/>
          <w:color w:val="000000"/>
          <w:lang w:eastAsia="da-DK"/>
        </w:rPr>
        <w:t xml:space="preserve">de i § 5 </w:t>
      </w:r>
      <w:r>
        <w:rPr>
          <w:rFonts w:eastAsia="Times New Roman" w:cs="Times New Roman"/>
          <w:color w:val="000000"/>
          <w:lang w:eastAsia="da-DK"/>
        </w:rPr>
        <w:t>anførte</w:t>
      </w:r>
      <w:r w:rsidRPr="00577043">
        <w:rPr>
          <w:rFonts w:eastAsia="Times New Roman" w:cs="Times New Roman"/>
          <w:color w:val="000000"/>
          <w:lang w:eastAsia="da-DK"/>
        </w:rPr>
        <w:t xml:space="preserve"> vurderinger og afgørelser.</w:t>
      </w:r>
    </w:p>
    <w:p w14:paraId="62E7CD9E" w14:textId="77777777" w:rsidR="00E476F6" w:rsidRPr="00577043" w:rsidRDefault="00E476F6" w:rsidP="00E476F6">
      <w:pPr>
        <w:rPr>
          <w:rFonts w:eastAsia="Times New Roman" w:cs="Times New Roman"/>
          <w:color w:val="000000"/>
          <w:lang w:eastAsia="da-DK"/>
        </w:rPr>
      </w:pPr>
    </w:p>
    <w:p w14:paraId="71C8118B" w14:textId="77777777" w:rsidR="00E476F6" w:rsidRPr="00577043" w:rsidRDefault="00E476F6" w:rsidP="00E476F6">
      <w:pPr>
        <w:rPr>
          <w:rFonts w:eastAsia="Times New Roman" w:cs="Times New Roman"/>
          <w:color w:val="000000"/>
          <w:lang w:eastAsia="da-DK"/>
        </w:rPr>
      </w:pPr>
      <w:r w:rsidRPr="00577043">
        <w:rPr>
          <w:rFonts w:eastAsia="Times New Roman" w:cs="Times New Roman"/>
          <w:color w:val="000000"/>
          <w:lang w:eastAsia="da-DK"/>
        </w:rPr>
        <w:t xml:space="preserve">Det følger af komitélovens § 24, stk. 1, at hvis det i den kompetente komité ikke er muligt at opnå enighed om vurderingen af et sundhedsvidenskabeligt forskningsprojekt, skal komiteen ved afstemning træffe afgørelse om, hvorvidt projektet kan godkendes. </w:t>
      </w:r>
    </w:p>
    <w:p w14:paraId="2355F7F6" w14:textId="77777777" w:rsidR="00E476F6" w:rsidRPr="00577043" w:rsidRDefault="00E476F6" w:rsidP="00E476F6">
      <w:pPr>
        <w:rPr>
          <w:rFonts w:eastAsia="Times New Roman" w:cs="Times New Roman"/>
          <w:color w:val="000000"/>
          <w:lang w:eastAsia="da-DK"/>
        </w:rPr>
      </w:pPr>
    </w:p>
    <w:p w14:paraId="34165296" w14:textId="77777777" w:rsidR="00E476F6" w:rsidRPr="0081094F" w:rsidRDefault="00E476F6" w:rsidP="00E476F6">
      <w:pPr>
        <w:rPr>
          <w:rFonts w:eastAsia="Times New Roman" w:cs="Times New Roman"/>
          <w:bCs/>
          <w:color w:val="000000"/>
          <w:lang w:eastAsia="da-DK"/>
        </w:rPr>
      </w:pPr>
      <w:r w:rsidRPr="00577043">
        <w:rPr>
          <w:rFonts w:eastAsia="Times New Roman" w:cs="Times New Roman"/>
          <w:color w:val="000000"/>
          <w:lang w:eastAsia="da-DK"/>
        </w:rPr>
        <w:t xml:space="preserve">Bestemmelsen foreslås </w:t>
      </w:r>
      <w:r>
        <w:rPr>
          <w:rFonts w:eastAsia="Times New Roman" w:cs="Times New Roman"/>
          <w:color w:val="000000"/>
          <w:lang w:eastAsia="da-DK"/>
        </w:rPr>
        <w:t xml:space="preserve">med </w:t>
      </w:r>
      <w:r>
        <w:rPr>
          <w:rFonts w:eastAsia="Times New Roman" w:cs="Times New Roman"/>
          <w:i/>
          <w:color w:val="000000"/>
          <w:lang w:eastAsia="da-DK"/>
        </w:rPr>
        <w:t xml:space="preserve">§ 8, stk. 1, </w:t>
      </w:r>
      <w:r w:rsidRPr="00577043">
        <w:rPr>
          <w:rFonts w:eastAsia="Times New Roman" w:cs="Times New Roman"/>
          <w:color w:val="000000"/>
          <w:lang w:eastAsia="da-DK"/>
        </w:rPr>
        <w:t xml:space="preserve">videreført således, at hvis det i den kompetente komité ikke er muligt at opnå enighed om bedømmelsen af et </w:t>
      </w:r>
      <w:r>
        <w:rPr>
          <w:rFonts w:eastAsia="Times New Roman" w:cs="Times New Roman"/>
          <w:color w:val="000000"/>
          <w:lang w:eastAsia="da-DK"/>
        </w:rPr>
        <w:t xml:space="preserve">klinisk </w:t>
      </w:r>
      <w:r w:rsidRPr="00577043">
        <w:rPr>
          <w:rFonts w:eastAsia="Times New Roman" w:cs="Times New Roman"/>
          <w:color w:val="000000"/>
          <w:lang w:eastAsia="da-DK"/>
        </w:rPr>
        <w:t>forsøg</w:t>
      </w:r>
      <w:r>
        <w:rPr>
          <w:rFonts w:eastAsia="Times New Roman" w:cs="Times New Roman"/>
          <w:color w:val="000000"/>
          <w:lang w:eastAsia="da-DK"/>
        </w:rPr>
        <w:t xml:space="preserve"> med lægemidler, </w:t>
      </w:r>
      <w:r w:rsidRPr="0081094F">
        <w:rPr>
          <w:rFonts w:eastAsia="Times New Roman" w:cs="Times New Roman"/>
          <w:color w:val="000000"/>
          <w:lang w:eastAsia="da-DK"/>
        </w:rPr>
        <w:t xml:space="preserve">skal komiteen træffe afgørelse herom ved afstemning. Dette gælder fx, når komiteen skal afgøre, </w:t>
      </w:r>
      <w:r w:rsidRPr="0081094F">
        <w:rPr>
          <w:rFonts w:eastAsia="Times New Roman" w:cs="Times New Roman"/>
          <w:bCs/>
          <w:color w:val="000000"/>
          <w:lang w:eastAsia="da-DK"/>
        </w:rPr>
        <w:t xml:space="preserve">om </w:t>
      </w:r>
      <w:r>
        <w:rPr>
          <w:rFonts w:eastAsia="Times New Roman" w:cs="Times New Roman"/>
          <w:bCs/>
          <w:color w:val="000000"/>
          <w:lang w:eastAsia="da-DK"/>
        </w:rPr>
        <w:t xml:space="preserve">den </w:t>
      </w:r>
      <w:r w:rsidRPr="0081094F">
        <w:rPr>
          <w:rFonts w:eastAsia="Times New Roman" w:cs="Times New Roman"/>
          <w:bCs/>
          <w:color w:val="000000"/>
          <w:lang w:eastAsia="da-DK"/>
        </w:rPr>
        <w:t xml:space="preserve">er uenig i den rapporterende medlemsstats konklusion for så vidt angår del I af vurderingsrapporten, jf. forordningens </w:t>
      </w:r>
      <w:r w:rsidR="00A10484" w:rsidRPr="00577043">
        <w:rPr>
          <w:rFonts w:eastAsia="Times New Roman" w:cs="Times New Roman"/>
          <w:bCs/>
          <w:color w:val="000000"/>
          <w:lang w:eastAsia="da-DK"/>
        </w:rPr>
        <w:t>art</w:t>
      </w:r>
      <w:r w:rsidR="00A10484">
        <w:rPr>
          <w:rFonts w:eastAsia="Times New Roman" w:cs="Times New Roman"/>
          <w:bCs/>
          <w:color w:val="000000"/>
          <w:lang w:eastAsia="da-DK"/>
        </w:rPr>
        <w:t>ikel</w:t>
      </w:r>
      <w:r w:rsidRPr="0081094F">
        <w:rPr>
          <w:rFonts w:eastAsia="Times New Roman" w:cs="Times New Roman"/>
          <w:bCs/>
          <w:color w:val="000000"/>
          <w:lang w:eastAsia="da-DK"/>
        </w:rPr>
        <w:t xml:space="preserve"> 8, stk. 4, og når komiteen skal afgøre, om kravene fastsat i forordningens kapitel V er opfyldt for så vidt angår de aspekter, som er omfattet af vurderingsrapportens del II.</w:t>
      </w:r>
    </w:p>
    <w:p w14:paraId="576B2380" w14:textId="77777777" w:rsidR="00E476F6" w:rsidRPr="00577043" w:rsidRDefault="00E476F6" w:rsidP="00E476F6">
      <w:pPr>
        <w:pStyle w:val="Listeafsnit"/>
        <w:rPr>
          <w:rFonts w:eastAsia="Times New Roman" w:cs="Times New Roman"/>
          <w:bCs/>
          <w:color w:val="000000"/>
          <w:lang w:eastAsia="da-DK"/>
        </w:rPr>
      </w:pPr>
    </w:p>
    <w:p w14:paraId="443DCBA1" w14:textId="77777777" w:rsidR="00E476F6" w:rsidRPr="00577043" w:rsidRDefault="00E476F6" w:rsidP="00E476F6">
      <w:pPr>
        <w:rPr>
          <w:rFonts w:eastAsia="Times New Roman" w:cs="Times New Roman"/>
          <w:color w:val="000000"/>
          <w:lang w:eastAsia="da-DK"/>
        </w:rPr>
      </w:pPr>
      <w:r w:rsidRPr="00577043">
        <w:rPr>
          <w:rFonts w:eastAsia="Times New Roman" w:cs="Times New Roman"/>
          <w:color w:val="000000"/>
          <w:lang w:eastAsia="da-DK"/>
        </w:rPr>
        <w:t xml:space="preserve">Tilsvarende gælder, når en komité skal træffe afgørelse </w:t>
      </w:r>
      <w:r w:rsidR="00574B02">
        <w:rPr>
          <w:rFonts w:eastAsia="Times New Roman" w:cs="Times New Roman"/>
          <w:color w:val="000000"/>
          <w:lang w:eastAsia="da-DK"/>
        </w:rPr>
        <w:t>om</w:t>
      </w:r>
      <w:r w:rsidRPr="00577043">
        <w:rPr>
          <w:rFonts w:eastAsia="Times New Roman" w:cs="Times New Roman"/>
          <w:color w:val="000000"/>
          <w:lang w:eastAsia="da-DK"/>
        </w:rPr>
        <w:t xml:space="preserve"> andre forhold i forordningen, herunder når en komité inddrages i vurderingen af indberetninger </w:t>
      </w:r>
      <w:r w:rsidR="00574B02">
        <w:rPr>
          <w:rFonts w:eastAsia="Times New Roman" w:cs="Times New Roman"/>
          <w:color w:val="000000"/>
          <w:lang w:eastAsia="da-DK"/>
        </w:rPr>
        <w:t>om</w:t>
      </w:r>
      <w:r w:rsidRPr="00577043">
        <w:rPr>
          <w:rFonts w:eastAsia="Times New Roman" w:cs="Times New Roman"/>
          <w:color w:val="000000"/>
          <w:lang w:eastAsia="da-DK"/>
        </w:rPr>
        <w:t xml:space="preserve"> fx alvorlige uventede bivirkninger, jf. den foreslåede§</w:t>
      </w:r>
      <w:r>
        <w:rPr>
          <w:rFonts w:eastAsia="Times New Roman" w:cs="Times New Roman"/>
          <w:color w:val="000000"/>
          <w:lang w:eastAsia="da-DK"/>
        </w:rPr>
        <w:t>12 c, stk. 1</w:t>
      </w:r>
      <w:r w:rsidRPr="00577043">
        <w:rPr>
          <w:rFonts w:eastAsia="Times New Roman" w:cs="Times New Roman"/>
          <w:color w:val="000000"/>
          <w:lang w:eastAsia="da-DK"/>
        </w:rPr>
        <w:t xml:space="preserve">, og </w:t>
      </w:r>
      <w:r w:rsidR="00A10484" w:rsidRPr="00577043">
        <w:rPr>
          <w:rFonts w:eastAsia="Times New Roman" w:cs="Times New Roman"/>
          <w:bCs/>
          <w:color w:val="000000"/>
          <w:lang w:eastAsia="da-DK"/>
        </w:rPr>
        <w:t>art</w:t>
      </w:r>
      <w:r w:rsidR="00A10484">
        <w:rPr>
          <w:rFonts w:eastAsia="Times New Roman" w:cs="Times New Roman"/>
          <w:bCs/>
          <w:color w:val="000000"/>
          <w:lang w:eastAsia="da-DK"/>
        </w:rPr>
        <w:t>ikel</w:t>
      </w:r>
      <w:r w:rsidRPr="00577043">
        <w:rPr>
          <w:rFonts w:eastAsia="Times New Roman" w:cs="Times New Roman"/>
          <w:color w:val="000000"/>
          <w:lang w:eastAsia="da-DK"/>
        </w:rPr>
        <w:t xml:space="preserve"> 44, stk. 2, i forordningen, og når komit</w:t>
      </w:r>
      <w:r>
        <w:rPr>
          <w:rFonts w:eastAsia="Times New Roman" w:cs="Times New Roman"/>
          <w:color w:val="000000"/>
          <w:lang w:eastAsia="da-DK"/>
        </w:rPr>
        <w:t>een inddrages i forbindelse med Lægemiddelstyrelsen</w:t>
      </w:r>
      <w:r w:rsidRPr="00577043">
        <w:rPr>
          <w:rFonts w:eastAsia="Times New Roman" w:cs="Times New Roman"/>
          <w:color w:val="000000"/>
          <w:lang w:eastAsia="da-DK"/>
        </w:rPr>
        <w:t xml:space="preserve">s afgørelse </w:t>
      </w:r>
      <w:r w:rsidR="00574B02">
        <w:rPr>
          <w:rFonts w:eastAsia="Times New Roman" w:cs="Times New Roman"/>
          <w:color w:val="000000"/>
          <w:lang w:eastAsia="da-DK"/>
        </w:rPr>
        <w:t>om</w:t>
      </w:r>
      <w:r w:rsidRPr="00577043">
        <w:rPr>
          <w:rFonts w:eastAsia="Times New Roman" w:cs="Times New Roman"/>
          <w:color w:val="000000"/>
          <w:lang w:eastAsia="da-DK"/>
        </w:rPr>
        <w:t xml:space="preserve"> tilbagekaldelse af en godkendelse, suspension eller ændring af et aspekt af et klinisk forsøg, jf. den foreslåede § 5</w:t>
      </w:r>
      <w:r>
        <w:rPr>
          <w:rFonts w:eastAsia="Times New Roman" w:cs="Times New Roman"/>
          <w:color w:val="000000"/>
          <w:lang w:eastAsia="da-DK"/>
        </w:rPr>
        <w:t xml:space="preserve"> c</w:t>
      </w:r>
      <w:r w:rsidRPr="00577043">
        <w:rPr>
          <w:rFonts w:eastAsia="Times New Roman" w:cs="Times New Roman"/>
          <w:color w:val="000000"/>
          <w:lang w:eastAsia="da-DK"/>
        </w:rPr>
        <w:t xml:space="preserve"> og </w:t>
      </w:r>
      <w:r w:rsidR="00A10484" w:rsidRPr="00577043">
        <w:rPr>
          <w:rFonts w:eastAsia="Times New Roman" w:cs="Times New Roman"/>
          <w:bCs/>
          <w:color w:val="000000"/>
          <w:lang w:eastAsia="da-DK"/>
        </w:rPr>
        <w:t>art</w:t>
      </w:r>
      <w:r w:rsidR="00A10484">
        <w:rPr>
          <w:rFonts w:eastAsia="Times New Roman" w:cs="Times New Roman"/>
          <w:bCs/>
          <w:color w:val="000000"/>
          <w:lang w:eastAsia="da-DK"/>
        </w:rPr>
        <w:t>ikel</w:t>
      </w:r>
      <w:r w:rsidRPr="00577043">
        <w:rPr>
          <w:rFonts w:eastAsia="Times New Roman" w:cs="Times New Roman"/>
          <w:color w:val="000000"/>
          <w:lang w:eastAsia="da-DK"/>
        </w:rPr>
        <w:t xml:space="preserve"> 77, stk. 1, i forordningen. Det gælder endvidere i forbindelse med komiteens beslutning om en sponsor skal påbydes at informere forsøgsdeltagere om, at de kan have krav på godtgørelse, jf. den foreslåede § 27, b, stk. 2.</w:t>
      </w:r>
    </w:p>
    <w:p w14:paraId="11B9A912" w14:textId="77777777" w:rsidR="00E476F6" w:rsidRPr="00577043" w:rsidRDefault="00E476F6" w:rsidP="00E476F6">
      <w:pPr>
        <w:rPr>
          <w:rFonts w:eastAsia="Times New Roman" w:cs="Times New Roman"/>
          <w:color w:val="000000"/>
          <w:lang w:eastAsia="da-DK"/>
        </w:rPr>
      </w:pPr>
    </w:p>
    <w:p w14:paraId="1A97D941" w14:textId="77777777" w:rsidR="00E476F6" w:rsidRPr="00577043" w:rsidRDefault="00E476F6" w:rsidP="00E476F6">
      <w:pPr>
        <w:rPr>
          <w:rFonts w:eastAsia="Times New Roman" w:cs="Times New Roman"/>
          <w:color w:val="000000"/>
          <w:lang w:eastAsia="da-DK"/>
        </w:rPr>
      </w:pPr>
      <w:r w:rsidRPr="00577043">
        <w:rPr>
          <w:rFonts w:eastAsia="Times New Roman" w:cs="Times New Roman"/>
          <w:color w:val="000000"/>
          <w:lang w:eastAsia="da-DK"/>
        </w:rPr>
        <w:t>Det foreslås endvidere, at flertallet skal være kvalificeret, idet formanden, eller i tilfælde af formandens forfald, næstformanden skal være en del af flertallet, jf.</w:t>
      </w:r>
      <w:r w:rsidRPr="00801A7D">
        <w:rPr>
          <w:rFonts w:eastAsia="Times New Roman" w:cs="Times New Roman"/>
          <w:i/>
          <w:color w:val="000000"/>
          <w:lang w:eastAsia="da-DK"/>
        </w:rPr>
        <w:t>§ 8 stk. 2</w:t>
      </w:r>
      <w:r w:rsidRPr="00577043">
        <w:rPr>
          <w:rFonts w:eastAsia="Times New Roman" w:cs="Times New Roman"/>
          <w:color w:val="000000"/>
          <w:lang w:eastAsia="da-DK"/>
        </w:rPr>
        <w:t>. Den faktiske vetoret videreføres således i de videnskabsetiske lægemiddelkomiteer.</w:t>
      </w:r>
    </w:p>
    <w:p w14:paraId="4E76518D" w14:textId="77777777" w:rsidR="00E476F6" w:rsidRPr="00577043" w:rsidRDefault="00E476F6" w:rsidP="00E476F6">
      <w:pPr>
        <w:rPr>
          <w:rFonts w:eastAsia="Times New Roman" w:cs="Times New Roman"/>
          <w:color w:val="000000"/>
          <w:lang w:eastAsia="da-DK"/>
        </w:rPr>
      </w:pPr>
    </w:p>
    <w:p w14:paraId="2C237E3E" w14:textId="77777777" w:rsidR="00E476F6" w:rsidRPr="00577043" w:rsidRDefault="00E476F6" w:rsidP="00E476F6">
      <w:pPr>
        <w:rPr>
          <w:rFonts w:eastAsia="Times New Roman" w:cs="Times New Roman"/>
          <w:color w:val="000000"/>
          <w:lang w:eastAsia="da-DK"/>
        </w:rPr>
      </w:pPr>
      <w:r w:rsidRPr="00577043">
        <w:rPr>
          <w:rFonts w:eastAsia="Times New Roman" w:cs="Times New Roman"/>
          <w:color w:val="000000"/>
          <w:lang w:eastAsia="da-DK"/>
        </w:rPr>
        <w:t xml:space="preserve">I de regionale komiteer kan formandskabet for en komité træffe afgørelse i sager, som ikke skønnes at frembyde tvivl, jf. komitélovens </w:t>
      </w:r>
      <w:r w:rsidRPr="00577043">
        <w:t>§ 24, stk. 4</w:t>
      </w:r>
      <w:r w:rsidRPr="00577043">
        <w:rPr>
          <w:rFonts w:eastAsia="Times New Roman" w:cs="Times New Roman"/>
          <w:color w:val="000000"/>
          <w:lang w:eastAsia="da-DK"/>
        </w:rPr>
        <w:t xml:space="preserve">. Denne beføjelse kan anvendes i ukomplicerede og rutinemæssige sager. Det foreslås på linje hermed, at formanden på den pågældende videnskabsetiske lægemiddelkomités vegne kan træffe afgørelse i sager, der ikke skønnes at frembyde tvivl, jf. den foreslåede </w:t>
      </w:r>
      <w:r w:rsidRPr="00801A7D">
        <w:rPr>
          <w:rFonts w:eastAsia="Times New Roman" w:cs="Times New Roman"/>
          <w:i/>
          <w:color w:val="000000"/>
          <w:lang w:eastAsia="da-DK"/>
        </w:rPr>
        <w:t>§ 8, stk. 3</w:t>
      </w:r>
      <w:r w:rsidRPr="00577043">
        <w:rPr>
          <w:rFonts w:eastAsia="Times New Roman" w:cs="Times New Roman"/>
          <w:color w:val="000000"/>
          <w:lang w:eastAsia="da-DK"/>
        </w:rPr>
        <w:t xml:space="preserve">. </w:t>
      </w:r>
    </w:p>
    <w:p w14:paraId="68AED934" w14:textId="77777777" w:rsidR="00E476F6" w:rsidRPr="00577043" w:rsidRDefault="00E476F6" w:rsidP="00E476F6">
      <w:pPr>
        <w:rPr>
          <w:rFonts w:eastAsia="Times New Roman" w:cs="Times New Roman"/>
          <w:color w:val="000000"/>
          <w:lang w:eastAsia="da-DK"/>
        </w:rPr>
      </w:pPr>
    </w:p>
    <w:p w14:paraId="16CF8113" w14:textId="77777777" w:rsidR="00E476F6" w:rsidRPr="00577043" w:rsidRDefault="00E476F6" w:rsidP="00E476F6">
      <w:pPr>
        <w:rPr>
          <w:rFonts w:cs="Times New Roman"/>
          <w:lang w:eastAsia="da-DK"/>
        </w:rPr>
      </w:pPr>
      <w:r w:rsidRPr="00577043">
        <w:rPr>
          <w:rFonts w:cs="Times New Roman"/>
          <w:lang w:eastAsia="da-DK"/>
        </w:rPr>
        <w:lastRenderedPageBreak/>
        <w:t xml:space="preserve">De sager, der i medfør af § 8, stk. 3, delegeres til formanden omfatter bl.a. godkendelse af ansøgninger jf. forordningens </w:t>
      </w:r>
      <w:r w:rsidR="00A10484" w:rsidRPr="00577043">
        <w:rPr>
          <w:rFonts w:eastAsia="Times New Roman" w:cs="Times New Roman"/>
          <w:bCs/>
          <w:color w:val="000000"/>
          <w:lang w:eastAsia="da-DK"/>
        </w:rPr>
        <w:t>art</w:t>
      </w:r>
      <w:r w:rsidR="00A10484">
        <w:rPr>
          <w:rFonts w:eastAsia="Times New Roman" w:cs="Times New Roman"/>
          <w:bCs/>
          <w:color w:val="000000"/>
          <w:lang w:eastAsia="da-DK"/>
        </w:rPr>
        <w:t>ikel</w:t>
      </w:r>
      <w:r w:rsidRPr="00577043">
        <w:rPr>
          <w:rFonts w:cs="Times New Roman"/>
          <w:lang w:eastAsia="da-DK"/>
        </w:rPr>
        <w:t xml:space="preserve"> 8, stk. 1, og </w:t>
      </w:r>
      <w:r w:rsidR="00A10484" w:rsidRPr="00577043">
        <w:rPr>
          <w:rFonts w:eastAsia="Times New Roman" w:cs="Times New Roman"/>
          <w:bCs/>
          <w:color w:val="000000"/>
          <w:lang w:eastAsia="da-DK"/>
        </w:rPr>
        <w:t>art</w:t>
      </w:r>
      <w:r w:rsidR="00A10484">
        <w:rPr>
          <w:rFonts w:eastAsia="Times New Roman" w:cs="Times New Roman"/>
          <w:bCs/>
          <w:color w:val="000000"/>
          <w:lang w:eastAsia="da-DK"/>
        </w:rPr>
        <w:t>ikel</w:t>
      </w:r>
      <w:r w:rsidRPr="00577043">
        <w:rPr>
          <w:rFonts w:cs="Times New Roman"/>
          <w:lang w:eastAsia="da-DK"/>
        </w:rPr>
        <w:t xml:space="preserve"> 14, stk. 3, samt godkendelse af væsentlige ændringer, jf. forordningens</w:t>
      </w:r>
      <w:r w:rsidR="00A10484" w:rsidRPr="00A10484">
        <w:rPr>
          <w:rFonts w:eastAsia="Times New Roman" w:cs="Times New Roman"/>
          <w:bCs/>
          <w:color w:val="000000"/>
          <w:lang w:eastAsia="da-DK"/>
        </w:rPr>
        <w:t xml:space="preserve"> </w:t>
      </w:r>
      <w:r w:rsidR="00A10484" w:rsidRPr="00577043">
        <w:rPr>
          <w:rFonts w:eastAsia="Times New Roman" w:cs="Times New Roman"/>
          <w:bCs/>
          <w:color w:val="000000"/>
          <w:lang w:eastAsia="da-DK"/>
        </w:rPr>
        <w:t>art</w:t>
      </w:r>
      <w:r w:rsidR="00A10484">
        <w:rPr>
          <w:rFonts w:eastAsia="Times New Roman" w:cs="Times New Roman"/>
          <w:bCs/>
          <w:color w:val="000000"/>
          <w:lang w:eastAsia="da-DK"/>
        </w:rPr>
        <w:t>ikel</w:t>
      </w:r>
      <w:r w:rsidRPr="00577043">
        <w:rPr>
          <w:rFonts w:cs="Times New Roman"/>
          <w:lang w:eastAsia="da-DK"/>
        </w:rPr>
        <w:t xml:space="preserve"> 19, stk. 1, </w:t>
      </w:r>
      <w:r w:rsidR="00A10484" w:rsidRPr="00577043">
        <w:rPr>
          <w:rFonts w:eastAsia="Times New Roman" w:cs="Times New Roman"/>
          <w:bCs/>
          <w:color w:val="000000"/>
          <w:lang w:eastAsia="da-DK"/>
        </w:rPr>
        <w:t>art</w:t>
      </w:r>
      <w:r w:rsidR="00A10484">
        <w:rPr>
          <w:rFonts w:eastAsia="Times New Roman" w:cs="Times New Roman"/>
          <w:bCs/>
          <w:color w:val="000000"/>
          <w:lang w:eastAsia="da-DK"/>
        </w:rPr>
        <w:t>ikel</w:t>
      </w:r>
      <w:r w:rsidR="00A10484" w:rsidRPr="00577043">
        <w:rPr>
          <w:rFonts w:cs="Times New Roman"/>
          <w:lang w:eastAsia="da-DK"/>
        </w:rPr>
        <w:t xml:space="preserve"> </w:t>
      </w:r>
      <w:r w:rsidRPr="00577043">
        <w:rPr>
          <w:rFonts w:cs="Times New Roman"/>
          <w:lang w:eastAsia="da-DK"/>
        </w:rPr>
        <w:t xml:space="preserve">20, stk. 5, og </w:t>
      </w:r>
      <w:r w:rsidR="00BE5415" w:rsidRPr="00577043">
        <w:rPr>
          <w:rFonts w:eastAsia="Times New Roman" w:cs="Times New Roman"/>
          <w:bCs/>
          <w:color w:val="000000"/>
          <w:lang w:eastAsia="da-DK"/>
        </w:rPr>
        <w:t>art</w:t>
      </w:r>
      <w:r w:rsidR="00BE5415">
        <w:rPr>
          <w:rFonts w:eastAsia="Times New Roman" w:cs="Times New Roman"/>
          <w:bCs/>
          <w:color w:val="000000"/>
          <w:lang w:eastAsia="da-DK"/>
        </w:rPr>
        <w:t>ikel</w:t>
      </w:r>
      <w:r w:rsidR="00BE5415" w:rsidRPr="00577043">
        <w:rPr>
          <w:rFonts w:cs="Times New Roman"/>
          <w:lang w:eastAsia="da-DK"/>
        </w:rPr>
        <w:t xml:space="preserve"> </w:t>
      </w:r>
      <w:r w:rsidRPr="00577043">
        <w:rPr>
          <w:rFonts w:cs="Times New Roman"/>
          <w:lang w:eastAsia="da-DK"/>
        </w:rPr>
        <w:t xml:space="preserve">23, stk. 1, samt andre forhold i forordningen og denne lov. </w:t>
      </w:r>
      <w:r w:rsidRPr="00577043">
        <w:rPr>
          <w:rFonts w:eastAsia="Times New Roman" w:cs="Times New Roman"/>
          <w:color w:val="000000"/>
          <w:lang w:eastAsia="da-DK"/>
        </w:rPr>
        <w:t>Der kan i forretningsordenen inden for lovens rammer fastsættes nærmere regler om, hvilke typer af afgørelser, som ikke findes at give anledning til tvivl. Komiteerne fastlægger i forretningsordenen retningslinjer for kompetence til afgørelse i tilfælde af formandens forfald.</w:t>
      </w:r>
    </w:p>
    <w:p w14:paraId="31977FEF" w14:textId="77777777" w:rsidR="00E476F6" w:rsidRPr="00577043" w:rsidRDefault="00E476F6" w:rsidP="00E476F6">
      <w:pPr>
        <w:rPr>
          <w:rFonts w:eastAsia="Times New Roman" w:cs="Times New Roman"/>
          <w:color w:val="000000"/>
          <w:lang w:eastAsia="da-DK"/>
        </w:rPr>
      </w:pPr>
    </w:p>
    <w:p w14:paraId="1C13B8FC" w14:textId="77777777" w:rsidR="00E476F6" w:rsidRPr="00577043" w:rsidRDefault="00E476F6" w:rsidP="00E476F6">
      <w:pPr>
        <w:rPr>
          <w:rFonts w:eastAsia="Times New Roman" w:cs="Times New Roman"/>
          <w:color w:val="000000"/>
          <w:lang w:eastAsia="da-DK"/>
        </w:rPr>
      </w:pPr>
      <w:r w:rsidRPr="00577043">
        <w:rPr>
          <w:rFonts w:eastAsia="Times New Roman" w:cs="Times New Roman"/>
          <w:color w:val="000000"/>
          <w:lang w:eastAsia="da-DK"/>
        </w:rPr>
        <w:t xml:space="preserve">Det foreslås endvidere med § 8, stk. 3, at formanden kan træffe afgørelse på den pågældende komités vegne, når det vurderes nødvendigt af hensyn til overholdelse af tidsfristerne fastsat i forordningen. Dette kan fx blive relevant i forbindelse med, at komiteen skal træffe afgørelse, om den er uenig i den rapporterende medlemsstats konklusion for så vidt angår del I af vurderingsrapporten, der som udgangspunkt skal træffes senest 5 dage fra modtagelsen af den endelige vurdering af del I, jf. </w:t>
      </w:r>
      <w:r w:rsidR="00BE5415" w:rsidRPr="00577043">
        <w:rPr>
          <w:rFonts w:eastAsia="Times New Roman" w:cs="Times New Roman"/>
          <w:bCs/>
          <w:color w:val="000000"/>
          <w:lang w:eastAsia="da-DK"/>
        </w:rPr>
        <w:t>art</w:t>
      </w:r>
      <w:r w:rsidR="00BE5415">
        <w:rPr>
          <w:rFonts w:eastAsia="Times New Roman" w:cs="Times New Roman"/>
          <w:bCs/>
          <w:color w:val="000000"/>
          <w:lang w:eastAsia="da-DK"/>
        </w:rPr>
        <w:t>ikel</w:t>
      </w:r>
      <w:r w:rsidR="00BE5415" w:rsidRPr="00577043">
        <w:rPr>
          <w:rFonts w:eastAsia="Times New Roman" w:cs="Times New Roman"/>
          <w:color w:val="000000"/>
          <w:lang w:eastAsia="da-DK"/>
        </w:rPr>
        <w:t xml:space="preserve"> </w:t>
      </w:r>
      <w:r w:rsidRPr="00577043">
        <w:rPr>
          <w:rFonts w:eastAsia="Times New Roman" w:cs="Times New Roman"/>
          <w:color w:val="000000"/>
          <w:lang w:eastAsia="da-DK"/>
        </w:rPr>
        <w:t xml:space="preserve">8, stk. 1. Såfremt en komité ikke får truffet afgørelse inden for fristen, og </w:t>
      </w:r>
      <w:r>
        <w:rPr>
          <w:rFonts w:eastAsia="Times New Roman" w:cs="Times New Roman"/>
          <w:color w:val="000000"/>
          <w:lang w:eastAsia="da-DK"/>
        </w:rPr>
        <w:t>Lægemiddelstyrelsen</w:t>
      </w:r>
      <w:r w:rsidRPr="00577043">
        <w:rPr>
          <w:rFonts w:eastAsia="Times New Roman" w:cs="Times New Roman"/>
          <w:color w:val="000000"/>
          <w:lang w:eastAsia="da-DK"/>
        </w:rPr>
        <w:t xml:space="preserve"> dermed ikke kan meddele sponsor en afgørelse inden for fristen, anses den rapporterende medlemsstats konklusion vedrørende del I af vurderingsrapporten for at være den berørte medlemsstats afgørelse </w:t>
      </w:r>
      <w:r w:rsidR="00574B02">
        <w:rPr>
          <w:rFonts w:eastAsia="Times New Roman" w:cs="Times New Roman"/>
          <w:color w:val="000000"/>
          <w:lang w:eastAsia="da-DK"/>
        </w:rPr>
        <w:t>om</w:t>
      </w:r>
      <w:r w:rsidRPr="00577043">
        <w:rPr>
          <w:rFonts w:eastAsia="Times New Roman" w:cs="Times New Roman"/>
          <w:color w:val="000000"/>
          <w:lang w:eastAsia="da-DK"/>
        </w:rPr>
        <w:t xml:space="preserve"> ansøgningen om godkendelse af det kliniske forsøg. </w:t>
      </w:r>
      <w:r w:rsidRPr="00577043">
        <w:rPr>
          <w:rFonts w:eastAsia="Times New Roman" w:cs="Times New Roman"/>
          <w:bCs/>
          <w:color w:val="000000"/>
          <w:lang w:eastAsia="da-DK"/>
        </w:rPr>
        <w:t>Danmark risikerer således</w:t>
      </w:r>
      <w:r>
        <w:rPr>
          <w:rFonts w:eastAsia="Times New Roman" w:cs="Times New Roman"/>
          <w:bCs/>
          <w:color w:val="000000"/>
          <w:lang w:eastAsia="da-DK"/>
        </w:rPr>
        <w:t xml:space="preserve"> at i tilfælde, hvor Lægemiddelstyrelsen</w:t>
      </w:r>
      <w:r w:rsidRPr="00577043">
        <w:rPr>
          <w:rFonts w:eastAsia="Times New Roman" w:cs="Times New Roman"/>
          <w:bCs/>
          <w:color w:val="000000"/>
          <w:lang w:eastAsia="da-DK"/>
        </w:rPr>
        <w:t xml:space="preserve"> eller den videnskabsetiske komité </w:t>
      </w:r>
      <w:r>
        <w:rPr>
          <w:rFonts w:eastAsia="Times New Roman" w:cs="Times New Roman"/>
          <w:bCs/>
          <w:color w:val="000000"/>
          <w:lang w:eastAsia="da-DK"/>
        </w:rPr>
        <w:t xml:space="preserve">vurderer, at et forsøg </w:t>
      </w:r>
      <w:r w:rsidRPr="00577043">
        <w:rPr>
          <w:rFonts w:eastAsia="Times New Roman" w:cs="Times New Roman"/>
          <w:bCs/>
          <w:color w:val="000000"/>
          <w:lang w:eastAsia="da-DK"/>
        </w:rPr>
        <w:t xml:space="preserve">bør </w:t>
      </w:r>
      <w:r>
        <w:rPr>
          <w:rFonts w:eastAsia="Times New Roman" w:cs="Times New Roman"/>
          <w:bCs/>
          <w:color w:val="000000"/>
          <w:lang w:eastAsia="da-DK"/>
        </w:rPr>
        <w:t>afvises</w:t>
      </w:r>
      <w:r w:rsidRPr="00577043">
        <w:rPr>
          <w:rFonts w:eastAsia="Times New Roman" w:cs="Times New Roman"/>
          <w:bCs/>
          <w:color w:val="000000"/>
          <w:lang w:eastAsia="da-DK"/>
        </w:rPr>
        <w:t xml:space="preserve">, </w:t>
      </w:r>
      <w:r>
        <w:rPr>
          <w:rFonts w:eastAsia="Times New Roman" w:cs="Times New Roman"/>
          <w:bCs/>
          <w:color w:val="000000"/>
          <w:lang w:eastAsia="da-DK"/>
        </w:rPr>
        <w:t xml:space="preserve">vil forsøget </w:t>
      </w:r>
      <w:r w:rsidRPr="00577043">
        <w:rPr>
          <w:rFonts w:eastAsia="Times New Roman" w:cs="Times New Roman"/>
          <w:bCs/>
          <w:color w:val="000000"/>
          <w:lang w:eastAsia="da-DK"/>
        </w:rPr>
        <w:t xml:space="preserve">alligevel blive godkendt og gennemført </w:t>
      </w:r>
      <w:r>
        <w:rPr>
          <w:rFonts w:eastAsia="Times New Roman" w:cs="Times New Roman"/>
          <w:bCs/>
          <w:color w:val="000000"/>
          <w:lang w:eastAsia="da-DK"/>
        </w:rPr>
        <w:t>her i landet</w:t>
      </w:r>
      <w:r w:rsidRPr="00577043">
        <w:rPr>
          <w:rFonts w:eastAsia="Times New Roman" w:cs="Times New Roman"/>
          <w:bCs/>
          <w:color w:val="000000"/>
          <w:lang w:eastAsia="da-DK"/>
        </w:rPr>
        <w:t>, hvis Danmark ikke har meddelt sin afgørelse inden for tidsfristen.</w:t>
      </w:r>
    </w:p>
    <w:p w14:paraId="3BAC6820" w14:textId="77777777" w:rsidR="00E476F6" w:rsidRPr="00577043" w:rsidRDefault="00E476F6" w:rsidP="00E476F6">
      <w:pPr>
        <w:rPr>
          <w:rFonts w:eastAsia="Times New Roman" w:cs="Times New Roman"/>
          <w:color w:val="000000"/>
          <w:lang w:eastAsia="da-DK"/>
        </w:rPr>
      </w:pPr>
    </w:p>
    <w:p w14:paraId="60235F87" w14:textId="77777777" w:rsidR="00E476F6" w:rsidRPr="00577043" w:rsidRDefault="00E476F6" w:rsidP="00E476F6">
      <w:pPr>
        <w:rPr>
          <w:rFonts w:cs="Times New Roman"/>
          <w:lang w:eastAsia="da-DK"/>
        </w:rPr>
      </w:pPr>
      <w:r w:rsidRPr="00577043">
        <w:rPr>
          <w:rFonts w:cs="Times New Roman"/>
          <w:lang w:eastAsia="da-DK"/>
        </w:rPr>
        <w:t>For så vidt angår ansvar for disse afgørelser finder de almindelige principper for ansvar i kollegiale organer anvendelse. I den forbindelse henvises til muligheden for på forhånd generelt at fastlægge området for delegationen.</w:t>
      </w:r>
    </w:p>
    <w:p w14:paraId="481497F5" w14:textId="77777777" w:rsidR="00E476F6" w:rsidRPr="00577043" w:rsidRDefault="00E476F6" w:rsidP="00E476F6">
      <w:pPr>
        <w:rPr>
          <w:rFonts w:cs="Times New Roman"/>
          <w:lang w:eastAsia="da-DK"/>
        </w:rPr>
      </w:pPr>
    </w:p>
    <w:p w14:paraId="59166AA5" w14:textId="77777777" w:rsidR="00E476F6" w:rsidRPr="00577043" w:rsidRDefault="00E476F6" w:rsidP="00E476F6">
      <w:pPr>
        <w:rPr>
          <w:rFonts w:cs="Times New Roman"/>
          <w:lang w:eastAsia="da-DK"/>
        </w:rPr>
      </w:pPr>
      <w:r w:rsidRPr="00577043">
        <w:rPr>
          <w:rFonts w:eastAsia="Times New Roman" w:cs="Times New Roman"/>
          <w:color w:val="000000"/>
          <w:lang w:eastAsia="da-DK"/>
        </w:rPr>
        <w:t xml:space="preserve">Det foreslås med </w:t>
      </w:r>
      <w:r w:rsidRPr="00801A7D">
        <w:rPr>
          <w:rFonts w:eastAsia="Times New Roman" w:cs="Times New Roman"/>
          <w:i/>
          <w:color w:val="000000"/>
          <w:lang w:eastAsia="da-DK"/>
        </w:rPr>
        <w:t>§ 8, stk. 4</w:t>
      </w:r>
      <w:r w:rsidRPr="00577043">
        <w:rPr>
          <w:rFonts w:eastAsia="Times New Roman" w:cs="Times New Roman"/>
          <w:color w:val="000000"/>
          <w:lang w:eastAsia="da-DK"/>
        </w:rPr>
        <w:t xml:space="preserve"> fastsat at såfremt afgørelsen er truffet af formanden, skal komiteens øvrige medlemmer orienteres om afgørelsen efterfølgende, således at komiteens øvrige medlemmer kan følge udviklingen af praksis på området.</w:t>
      </w:r>
    </w:p>
    <w:p w14:paraId="4C061136" w14:textId="77777777" w:rsidR="00E476F6" w:rsidRDefault="00E476F6" w:rsidP="00E476F6">
      <w:pPr>
        <w:rPr>
          <w:rFonts w:eastAsia="Times New Roman" w:cs="Times New Roman"/>
          <w:color w:val="000000"/>
          <w:lang w:eastAsia="da-DK"/>
        </w:rPr>
      </w:pPr>
    </w:p>
    <w:p w14:paraId="1FCF1338" w14:textId="77777777" w:rsidR="00E476F6" w:rsidRDefault="00E476F6" w:rsidP="00E476F6">
      <w:pPr>
        <w:rPr>
          <w:rFonts w:eastAsia="Times New Roman" w:cs="Times New Roman"/>
          <w:color w:val="000000"/>
          <w:lang w:eastAsia="da-DK"/>
        </w:rPr>
      </w:pPr>
      <w:r>
        <w:rPr>
          <w:rFonts w:eastAsia="Times New Roman" w:cs="Times New Roman"/>
          <w:color w:val="000000"/>
          <w:lang w:eastAsia="da-DK"/>
        </w:rPr>
        <w:t xml:space="preserve">Som udgangspunkt træffer en komité at træffe afgørelser og varetage øvrige opgaver ved møder, herunder virtuelle møder, men kommunikation mellem komiteens medlemmer, herunder i et underudvalg,  kan også finde sted ved skriftlig elektronisk kommunikation. </w:t>
      </w:r>
    </w:p>
    <w:p w14:paraId="66211393" w14:textId="77777777" w:rsidR="00E476F6" w:rsidRDefault="00E476F6" w:rsidP="00E476F6">
      <w:pPr>
        <w:rPr>
          <w:rFonts w:cs="Times New Roman"/>
          <w:lang w:eastAsia="da-DK"/>
        </w:rPr>
      </w:pPr>
    </w:p>
    <w:p w14:paraId="1DF8CC24" w14:textId="77777777" w:rsidR="00E476F6" w:rsidRPr="00577043" w:rsidRDefault="00E476F6" w:rsidP="00E476F6">
      <w:pPr>
        <w:pStyle w:val="Overskrift2"/>
        <w:jc w:val="left"/>
        <w:rPr>
          <w:lang w:eastAsia="da-DK"/>
        </w:rPr>
      </w:pPr>
      <w:r w:rsidRPr="00577043">
        <w:rPr>
          <w:lang w:eastAsia="da-DK"/>
        </w:rPr>
        <w:t>Til § 8. [Øvrige opgaver]</w:t>
      </w:r>
    </w:p>
    <w:p w14:paraId="6CBC3D78" w14:textId="77777777" w:rsidR="00E476F6" w:rsidRPr="00577043" w:rsidRDefault="00E476F6" w:rsidP="00E476F6">
      <w:pPr>
        <w:rPr>
          <w:lang w:eastAsia="da-DK"/>
        </w:rPr>
      </w:pPr>
      <w:r w:rsidRPr="00577043">
        <w:rPr>
          <w:lang w:eastAsia="da-DK"/>
        </w:rPr>
        <w:t xml:space="preserve">Ifølge komitélovens § 33, stk. 1, skal komiteerne følge forskningsudviklingen på sundhedsområdet og virke for forståelsen af de etiske problemstillinger, som udviklingen kan medføre i forhold til sundhedsvæsenet og de sundhedsvidenskabelige forskningsmiljøer. Det følger endvidere af komitélovens § 33, stk. 2, at komitésystemet aktivt skal samarbejde og koordinere opgavevaretagelsen med relevante nationale og internationale myndigheder og organisationer m.v. Forpligtelsen til at varetage disse opgaver påhviler i dag de regionale komiteer såvel som den nationale komité, som dog har et særligt ansvar for at løfte denne opgave. Det følger af sundhedslovens § 213, at </w:t>
      </w:r>
      <w:r>
        <w:rPr>
          <w:lang w:eastAsia="da-DK"/>
        </w:rPr>
        <w:t>Lægemiddelstyrelsen</w:t>
      </w:r>
      <w:r w:rsidRPr="00577043">
        <w:rPr>
          <w:lang w:eastAsia="da-DK"/>
        </w:rPr>
        <w:t xml:space="preserve"> skal følge sundhedsforholdene og holde sig orienteret om den til enhver tid værende faglige viden på sundhedsområdet. Sidstnævnt forudsætter, at </w:t>
      </w:r>
      <w:r>
        <w:rPr>
          <w:lang w:eastAsia="da-DK"/>
        </w:rPr>
        <w:t>Lægemiddelstyrelsen</w:t>
      </w:r>
      <w:r w:rsidRPr="00577043">
        <w:rPr>
          <w:lang w:eastAsia="da-DK"/>
        </w:rPr>
        <w:t xml:space="preserve"> også følger forskningsudviklingen på sundhedsområdet.</w:t>
      </w:r>
    </w:p>
    <w:p w14:paraId="0C8F0DDF" w14:textId="77777777" w:rsidR="00E476F6" w:rsidRPr="00577043" w:rsidRDefault="00E476F6" w:rsidP="00E476F6">
      <w:pPr>
        <w:rPr>
          <w:lang w:eastAsia="da-DK"/>
        </w:rPr>
      </w:pPr>
    </w:p>
    <w:p w14:paraId="6713DF6E" w14:textId="77777777" w:rsidR="00E476F6" w:rsidRPr="00577043" w:rsidRDefault="00E476F6" w:rsidP="00E476F6">
      <w:pPr>
        <w:rPr>
          <w:lang w:eastAsia="da-DK"/>
        </w:rPr>
      </w:pPr>
      <w:r w:rsidRPr="00577043">
        <w:rPr>
          <w:lang w:eastAsia="da-DK"/>
        </w:rPr>
        <w:t xml:space="preserve">Det foreslås med </w:t>
      </w:r>
      <w:r w:rsidRPr="00AE2B5D">
        <w:rPr>
          <w:i/>
          <w:lang w:eastAsia="da-DK"/>
        </w:rPr>
        <w:t>§ 8 a, stk. 1</w:t>
      </w:r>
      <w:r w:rsidRPr="00577043">
        <w:rPr>
          <w:lang w:eastAsia="da-DK"/>
        </w:rPr>
        <w:t xml:space="preserve">, at de videnskabsetiske lægemiddelkomiteer lige som de regionale komiteer pålægges et medansvar for at følge forskningsudviklingen og virke for forståelsen af de etiske problemstillinger. </w:t>
      </w:r>
    </w:p>
    <w:p w14:paraId="006F5A61" w14:textId="77777777" w:rsidR="00E476F6" w:rsidRPr="00577043" w:rsidRDefault="00E476F6" w:rsidP="00E476F6">
      <w:pPr>
        <w:rPr>
          <w:rFonts w:cs="Times New Roman"/>
          <w:lang w:eastAsia="da-DK"/>
        </w:rPr>
      </w:pPr>
    </w:p>
    <w:p w14:paraId="4AEADF6E" w14:textId="77777777" w:rsidR="00E476F6" w:rsidRPr="00577043" w:rsidRDefault="00E476F6" w:rsidP="00E476F6">
      <w:pPr>
        <w:rPr>
          <w:rFonts w:cs="Times New Roman"/>
          <w:lang w:eastAsia="da-DK"/>
        </w:rPr>
      </w:pPr>
      <w:r w:rsidRPr="00577043">
        <w:rPr>
          <w:rFonts w:cs="Times New Roman"/>
          <w:lang w:eastAsia="da-DK"/>
        </w:rPr>
        <w:t xml:space="preserve">Med </w:t>
      </w:r>
      <w:r w:rsidRPr="00AE2B5D">
        <w:rPr>
          <w:rFonts w:cs="Times New Roman"/>
          <w:i/>
          <w:lang w:eastAsia="da-DK"/>
        </w:rPr>
        <w:t>§ 8 a, stk. 2</w:t>
      </w:r>
      <w:r w:rsidRPr="00577043">
        <w:rPr>
          <w:rFonts w:cs="Times New Roman"/>
          <w:lang w:eastAsia="da-DK"/>
        </w:rPr>
        <w:t xml:space="preserve">, foreslås det endvidere, at de videnskabsetiske lægemiddelkomiteer aktivt skal samarbejde og koordinere varetagelsen med relevante nationale og internationale myndigheder og organisationer m.v. Det kan udover samarbejdet med </w:t>
      </w:r>
      <w:r>
        <w:rPr>
          <w:rFonts w:cs="Times New Roman"/>
          <w:lang w:eastAsia="da-DK"/>
        </w:rPr>
        <w:t>Lægemiddelstyrelsen</w:t>
      </w:r>
      <w:r w:rsidRPr="00577043">
        <w:rPr>
          <w:rFonts w:cs="Times New Roman"/>
          <w:lang w:eastAsia="da-DK"/>
        </w:rPr>
        <w:t xml:space="preserve"> fx omfatte, det Etiske Råd, Datatilsynet, Forskningsrådene m.fl. Samarbejdet vil typisk omfatte overordnede, generelle problemstillinger og temaer. Der er ikke fastsat nærmere formelle krav m.v. til samarbejdet, som dermed kan tilpasses efter behov.</w:t>
      </w:r>
    </w:p>
    <w:p w14:paraId="2F8A4E8A" w14:textId="77777777" w:rsidR="00E476F6" w:rsidRDefault="00E476F6" w:rsidP="00E476F6">
      <w:pPr>
        <w:rPr>
          <w:rFonts w:eastAsia="Times New Roman" w:cs="Times New Roman"/>
          <w:iCs/>
          <w:color w:val="000000"/>
          <w:lang w:eastAsia="da-DK"/>
        </w:rPr>
      </w:pPr>
    </w:p>
    <w:p w14:paraId="67F3BF53" w14:textId="77777777" w:rsidR="00E476F6" w:rsidRPr="00577043" w:rsidRDefault="00E476F6" w:rsidP="00E476F6">
      <w:pPr>
        <w:pStyle w:val="Overskrift2"/>
        <w:jc w:val="left"/>
        <w:rPr>
          <w:rFonts w:eastAsia="Times New Roman" w:cs="Times New Roman"/>
          <w:lang w:eastAsia="da-DK"/>
        </w:rPr>
      </w:pPr>
      <w:r w:rsidRPr="00577043">
        <w:rPr>
          <w:rFonts w:eastAsia="Times New Roman" w:cs="Times New Roman"/>
          <w:iCs/>
          <w:lang w:eastAsia="da-DK"/>
        </w:rPr>
        <w:lastRenderedPageBreak/>
        <w:t xml:space="preserve">Til § </w:t>
      </w:r>
      <w:r w:rsidR="004B6228">
        <w:rPr>
          <w:rFonts w:eastAsia="Times New Roman" w:cs="Times New Roman"/>
          <w:iCs/>
          <w:lang w:eastAsia="da-DK"/>
        </w:rPr>
        <w:t>9</w:t>
      </w:r>
      <w:r w:rsidRPr="00577043">
        <w:rPr>
          <w:rFonts w:eastAsia="Times New Roman" w:cs="Times New Roman"/>
          <w:iCs/>
          <w:lang w:eastAsia="da-DK"/>
        </w:rPr>
        <w:t xml:space="preserve"> </w:t>
      </w:r>
      <w:r w:rsidR="004B6228">
        <w:rPr>
          <w:rFonts w:eastAsia="Times New Roman" w:cs="Times New Roman"/>
          <w:lang w:eastAsia="da-DK"/>
        </w:rPr>
        <w:t>[Samarbejde om forsøg</w:t>
      </w:r>
      <w:r w:rsidRPr="00577043">
        <w:rPr>
          <w:rFonts w:eastAsia="Times New Roman" w:cs="Times New Roman"/>
          <w:lang w:eastAsia="da-DK"/>
        </w:rPr>
        <w:t xml:space="preserve"> ]</w:t>
      </w:r>
    </w:p>
    <w:p w14:paraId="0CFFC007" w14:textId="77777777" w:rsidR="0008414A" w:rsidRDefault="00E476F6" w:rsidP="0008414A">
      <w:pPr>
        <w:rPr>
          <w:rFonts w:eastAsia="Times New Roman" w:cs="Times New Roman"/>
          <w:bCs/>
          <w:color w:val="000000"/>
          <w:lang w:eastAsia="da-DK"/>
        </w:rPr>
      </w:pPr>
      <w:r w:rsidRPr="00577043">
        <w:rPr>
          <w:rFonts w:eastAsia="Times New Roman" w:cs="Times New Roman"/>
          <w:color w:val="000000"/>
          <w:lang w:eastAsia="da-DK"/>
        </w:rPr>
        <w:t xml:space="preserve">Det foreslås med </w:t>
      </w:r>
      <w:r>
        <w:rPr>
          <w:rFonts w:eastAsia="Times New Roman" w:cs="Times New Roman"/>
          <w:i/>
          <w:color w:val="000000"/>
          <w:lang w:eastAsia="da-DK"/>
        </w:rPr>
        <w:t>§ 5, stk.1</w:t>
      </w:r>
      <w:r w:rsidRPr="00577043">
        <w:rPr>
          <w:rFonts w:eastAsia="Times New Roman" w:cs="Times New Roman"/>
          <w:color w:val="000000"/>
          <w:lang w:eastAsia="da-DK"/>
        </w:rPr>
        <w:t xml:space="preserve">, at </w:t>
      </w:r>
      <w:r>
        <w:rPr>
          <w:rFonts w:eastAsia="Times New Roman" w:cs="Times New Roman"/>
          <w:color w:val="000000"/>
          <w:lang w:eastAsia="da-DK"/>
        </w:rPr>
        <w:t>Lægemiddelstyrelsen</w:t>
      </w:r>
      <w:r w:rsidRPr="00577043">
        <w:rPr>
          <w:rFonts w:eastAsia="Times New Roman" w:cs="Times New Roman"/>
          <w:color w:val="000000"/>
          <w:lang w:eastAsia="da-DK"/>
        </w:rPr>
        <w:t xml:space="preserve"> og de videnskabsetiske lægemiddelkomiteer koordinerer behandlingen af ansøgninger og opfølgningen på godkendte forsøg</w:t>
      </w:r>
      <w:r w:rsidRPr="00076032">
        <w:rPr>
          <w:rFonts w:eastAsia="Times New Roman" w:cs="Times New Roman"/>
          <w:color w:val="000000"/>
          <w:lang w:eastAsia="da-DK"/>
        </w:rPr>
        <w:t xml:space="preserve"> </w:t>
      </w:r>
      <w:r>
        <w:rPr>
          <w:rFonts w:eastAsia="Times New Roman" w:cs="Times New Roman"/>
          <w:color w:val="000000"/>
          <w:lang w:eastAsia="da-DK"/>
        </w:rPr>
        <w:t>således at begge myndigheder får det bedst mulige oplyste grundlag at vurdere ansøgningen på</w:t>
      </w:r>
      <w:r w:rsidRPr="00577043">
        <w:rPr>
          <w:rFonts w:eastAsia="Times New Roman" w:cs="Times New Roman"/>
          <w:color w:val="000000"/>
          <w:lang w:eastAsia="da-DK"/>
        </w:rPr>
        <w:t xml:space="preserve">. </w:t>
      </w:r>
      <w:r>
        <w:rPr>
          <w:rFonts w:eastAsia="Times New Roman" w:cs="Times New Roman"/>
          <w:color w:val="000000"/>
          <w:lang w:eastAsia="da-DK"/>
        </w:rPr>
        <w:t xml:space="preserve">Der </w:t>
      </w:r>
      <w:r w:rsidR="0008414A">
        <w:rPr>
          <w:rFonts w:eastAsia="Times New Roman" w:cs="Times New Roman"/>
          <w:color w:val="000000"/>
          <w:lang w:eastAsia="da-DK"/>
        </w:rPr>
        <w:t>forudsættes</w:t>
      </w:r>
      <w:r>
        <w:rPr>
          <w:rFonts w:eastAsia="Times New Roman" w:cs="Times New Roman"/>
          <w:color w:val="000000"/>
          <w:lang w:eastAsia="da-DK"/>
        </w:rPr>
        <w:t xml:space="preserve"> et meget tæt samarbejde mellem myndighederne om udarbejdelse af bidrag til eller udkast til vurderingsrapport. </w:t>
      </w:r>
      <w:r w:rsidRPr="00577043">
        <w:rPr>
          <w:rFonts w:eastAsia="Times New Roman" w:cs="Times New Roman"/>
          <w:bCs/>
          <w:color w:val="000000"/>
          <w:lang w:eastAsia="da-DK"/>
        </w:rPr>
        <w:t xml:space="preserve">Dette indebærer bl.a., at </w:t>
      </w:r>
      <w:r>
        <w:rPr>
          <w:rFonts w:eastAsia="Times New Roman" w:cs="Times New Roman"/>
          <w:bCs/>
          <w:color w:val="000000"/>
          <w:lang w:eastAsia="da-DK"/>
        </w:rPr>
        <w:t>Lægemiddelstyrelsen</w:t>
      </w:r>
      <w:r w:rsidRPr="00577043">
        <w:rPr>
          <w:rFonts w:eastAsia="Times New Roman" w:cs="Times New Roman"/>
          <w:bCs/>
          <w:color w:val="000000"/>
          <w:lang w:eastAsia="da-DK"/>
        </w:rPr>
        <w:t xml:space="preserve"> og komiteen i forbindelse med godkendelsen af et forsøg eller en væsentlig ændring af et forsøg gensidigt informerer om hhv. den sundhedsfaglige og videnskabsetiske vurdering af, om aspekterne af vurderingsrapportens del I er opfyldt. Der kan således være sundhedsfaglige vurderinger, som er relevante for den videnskabsetiske vurdering af afvejningen af den forventede gevinst i forhold til risici og ulemper for forsøgspersonen. </w:t>
      </w:r>
      <w:r w:rsidR="0008414A">
        <w:rPr>
          <w:rFonts w:eastAsia="Times New Roman" w:cs="Times New Roman"/>
          <w:bCs/>
          <w:color w:val="000000"/>
          <w:lang w:eastAsia="da-DK"/>
        </w:rPr>
        <w:t>Koordineringen og samarbejdet mellem Lægemiddelstyrelsen og de videnskabsetiske lægemiddelkomiteer ændrer ikke ved, at begge myndigheder foretager den formelle vurdering af en ansøgning uafhængigt af hinanden.</w:t>
      </w:r>
    </w:p>
    <w:p w14:paraId="4A767D19" w14:textId="77777777" w:rsidR="00E476F6" w:rsidRDefault="00E476F6" w:rsidP="00E476F6">
      <w:pPr>
        <w:rPr>
          <w:rFonts w:eastAsia="Times New Roman" w:cs="Times New Roman"/>
          <w:bCs/>
          <w:color w:val="000000"/>
          <w:lang w:eastAsia="da-DK"/>
        </w:rPr>
      </w:pPr>
    </w:p>
    <w:p w14:paraId="3EA9F688" w14:textId="77777777" w:rsidR="0008414A" w:rsidRDefault="00E476F6" w:rsidP="00E476F6">
      <w:pPr>
        <w:rPr>
          <w:rFonts w:eastAsia="Times New Roman" w:cs="Times New Roman"/>
          <w:bCs/>
          <w:color w:val="000000"/>
          <w:lang w:eastAsia="da-DK"/>
        </w:rPr>
      </w:pPr>
      <w:r w:rsidRPr="00577043">
        <w:rPr>
          <w:rFonts w:eastAsia="Times New Roman" w:cs="Times New Roman"/>
          <w:bCs/>
          <w:color w:val="000000"/>
          <w:lang w:eastAsia="da-DK"/>
        </w:rPr>
        <w:t xml:space="preserve">Der er ligeledes behov for koordinering i forbindelse med </w:t>
      </w:r>
      <w:r w:rsidR="0008414A">
        <w:rPr>
          <w:rFonts w:eastAsia="Times New Roman" w:cs="Times New Roman"/>
          <w:bCs/>
          <w:color w:val="000000"/>
          <w:lang w:eastAsia="da-DK"/>
        </w:rPr>
        <w:t xml:space="preserve">opfølgning på godkendte forsøg. Fx skal </w:t>
      </w:r>
      <w:r>
        <w:rPr>
          <w:rFonts w:eastAsia="Times New Roman" w:cs="Times New Roman"/>
          <w:bCs/>
          <w:color w:val="000000"/>
          <w:lang w:eastAsia="da-DK"/>
        </w:rPr>
        <w:t>inspektioner</w:t>
      </w:r>
      <w:r w:rsidRPr="00577043">
        <w:rPr>
          <w:rFonts w:eastAsia="Times New Roman" w:cs="Times New Roman"/>
          <w:bCs/>
          <w:color w:val="000000"/>
          <w:lang w:eastAsia="da-DK"/>
        </w:rPr>
        <w:t xml:space="preserve"> af forsøg som udgangspunkt varetages af </w:t>
      </w:r>
      <w:r>
        <w:rPr>
          <w:rFonts w:eastAsia="Times New Roman" w:cs="Times New Roman"/>
          <w:bCs/>
          <w:color w:val="000000"/>
          <w:lang w:eastAsia="da-DK"/>
        </w:rPr>
        <w:t>Lægemiddelstyrelsen</w:t>
      </w:r>
      <w:r w:rsidRPr="00577043">
        <w:rPr>
          <w:rFonts w:eastAsia="Times New Roman" w:cs="Times New Roman"/>
          <w:bCs/>
          <w:color w:val="000000"/>
          <w:lang w:eastAsia="da-DK"/>
        </w:rPr>
        <w:t>, men den videnskabsetiske lægemiddelkomité</w:t>
      </w:r>
      <w:r w:rsidR="0008414A">
        <w:rPr>
          <w:rFonts w:eastAsia="Times New Roman" w:cs="Times New Roman"/>
          <w:bCs/>
          <w:color w:val="000000"/>
          <w:lang w:eastAsia="da-DK"/>
        </w:rPr>
        <w:t xml:space="preserve"> inddrages</w:t>
      </w:r>
      <w:r w:rsidRPr="00577043">
        <w:rPr>
          <w:rFonts w:eastAsia="Times New Roman" w:cs="Times New Roman"/>
          <w:bCs/>
          <w:color w:val="000000"/>
          <w:lang w:eastAsia="da-DK"/>
        </w:rPr>
        <w:t xml:space="preserve">, når </w:t>
      </w:r>
      <w:r>
        <w:rPr>
          <w:rFonts w:eastAsia="Times New Roman" w:cs="Times New Roman"/>
          <w:bCs/>
          <w:color w:val="000000"/>
          <w:lang w:eastAsia="da-DK"/>
        </w:rPr>
        <w:t>Lægemiddelstyrelsen</w:t>
      </w:r>
      <w:r w:rsidRPr="00577043">
        <w:rPr>
          <w:rFonts w:eastAsia="Times New Roman" w:cs="Times New Roman"/>
          <w:bCs/>
          <w:color w:val="000000"/>
          <w:lang w:eastAsia="da-DK"/>
        </w:rPr>
        <w:t xml:space="preserve"> eller komiteen vurderer, der er behov for en vurdering af videnskabsetiske aspekter, jf. § </w:t>
      </w:r>
      <w:r w:rsidR="0008414A">
        <w:rPr>
          <w:rFonts w:eastAsia="Times New Roman" w:cs="Times New Roman"/>
          <w:bCs/>
          <w:color w:val="000000"/>
          <w:lang w:eastAsia="da-DK"/>
        </w:rPr>
        <w:t>17, stk. 2</w:t>
      </w:r>
      <w:r w:rsidRPr="00577043">
        <w:rPr>
          <w:rFonts w:eastAsia="Times New Roman" w:cs="Times New Roman"/>
          <w:bCs/>
          <w:color w:val="000000"/>
          <w:lang w:eastAsia="da-DK"/>
        </w:rPr>
        <w:t>.</w:t>
      </w:r>
      <w:r>
        <w:rPr>
          <w:rFonts w:eastAsia="Times New Roman" w:cs="Times New Roman"/>
          <w:bCs/>
          <w:color w:val="000000"/>
          <w:lang w:eastAsia="da-DK"/>
        </w:rPr>
        <w:t xml:space="preserve"> </w:t>
      </w:r>
      <w:r w:rsidR="0008414A">
        <w:rPr>
          <w:rFonts w:eastAsia="Times New Roman" w:cs="Times New Roman"/>
          <w:bCs/>
          <w:color w:val="000000"/>
          <w:lang w:eastAsia="da-DK"/>
        </w:rPr>
        <w:t>Endvidere skal Lægemiddelstyrelsen og den videnskabsetiske lægemiddelkomité samarbejde, når der er behov for korrigerende foranstaltninger, jf. lovforslagets § 16, stk. 1.</w:t>
      </w:r>
    </w:p>
    <w:p w14:paraId="1963A011" w14:textId="77777777" w:rsidR="00E476F6" w:rsidRDefault="00E476F6" w:rsidP="00E476F6">
      <w:pPr>
        <w:rPr>
          <w:rFonts w:eastAsia="Times New Roman" w:cs="Times New Roman"/>
          <w:bCs/>
          <w:color w:val="000000"/>
          <w:lang w:eastAsia="da-DK"/>
        </w:rPr>
      </w:pPr>
    </w:p>
    <w:p w14:paraId="1E006BCB" w14:textId="77777777" w:rsidR="00E476F6" w:rsidRDefault="00E476F6" w:rsidP="00E476F6">
      <w:pPr>
        <w:rPr>
          <w:rFonts w:eastAsia="Times New Roman" w:cs="Times New Roman"/>
          <w:bCs/>
          <w:color w:val="000000"/>
          <w:lang w:eastAsia="da-DK"/>
        </w:rPr>
      </w:pPr>
      <w:r>
        <w:rPr>
          <w:rFonts w:eastAsia="Times New Roman" w:cs="Times New Roman"/>
          <w:bCs/>
          <w:color w:val="000000"/>
          <w:lang w:eastAsia="da-DK"/>
        </w:rPr>
        <w:t xml:space="preserve">Endelig foreslås det, at Lægemiddelstyrelsen og de videnskabsetiske lægemiddelkomiteer </w:t>
      </w:r>
      <w:r w:rsidR="008C64E7">
        <w:rPr>
          <w:rFonts w:eastAsia="Times New Roman" w:cs="Times New Roman"/>
          <w:bCs/>
          <w:color w:val="000000"/>
          <w:lang w:eastAsia="da-DK"/>
        </w:rPr>
        <w:t>i øvrigt</w:t>
      </w:r>
      <w:r>
        <w:rPr>
          <w:rFonts w:eastAsia="Times New Roman" w:cs="Times New Roman"/>
          <w:bCs/>
          <w:color w:val="000000"/>
          <w:lang w:eastAsia="da-DK"/>
        </w:rPr>
        <w:t xml:space="preserve"> samarbejder </w:t>
      </w:r>
      <w:r w:rsidR="008C64E7">
        <w:rPr>
          <w:rFonts w:eastAsia="Times New Roman" w:cs="Times New Roman"/>
          <w:bCs/>
          <w:color w:val="000000"/>
          <w:lang w:eastAsia="da-DK"/>
        </w:rPr>
        <w:t>om opgavevaretagelsen efter forordningen. Det forudsættes i den forbindelse af Lægemiddelstyrelsen og komiteerne</w:t>
      </w:r>
      <w:r>
        <w:rPr>
          <w:rFonts w:eastAsia="Times New Roman" w:cs="Times New Roman"/>
          <w:bCs/>
          <w:color w:val="000000"/>
          <w:lang w:eastAsia="da-DK"/>
        </w:rPr>
        <w:t xml:space="preserve"> drøfter fælles problemstillinger, herunder deler viden indhentet i </w:t>
      </w:r>
      <w:r w:rsidR="008C64E7">
        <w:rPr>
          <w:rFonts w:eastAsia="Times New Roman" w:cs="Times New Roman"/>
          <w:bCs/>
          <w:color w:val="000000"/>
          <w:lang w:eastAsia="da-DK"/>
        </w:rPr>
        <w:t xml:space="preserve">fx </w:t>
      </w:r>
      <w:r>
        <w:rPr>
          <w:rFonts w:eastAsia="Times New Roman" w:cs="Times New Roman"/>
          <w:bCs/>
          <w:color w:val="000000"/>
          <w:lang w:eastAsia="da-DK"/>
        </w:rPr>
        <w:t xml:space="preserve">den konkrete sagsbehandling eller </w:t>
      </w:r>
      <w:r w:rsidR="008C64E7">
        <w:rPr>
          <w:rFonts w:eastAsia="Times New Roman" w:cs="Times New Roman"/>
          <w:bCs/>
          <w:color w:val="000000"/>
          <w:lang w:eastAsia="da-DK"/>
        </w:rPr>
        <w:t>i andre sammenhænge,</w:t>
      </w:r>
      <w:r>
        <w:rPr>
          <w:rFonts w:eastAsia="Times New Roman" w:cs="Times New Roman"/>
          <w:bCs/>
          <w:color w:val="000000"/>
          <w:lang w:eastAsia="da-DK"/>
        </w:rPr>
        <w:t xml:space="preserve"> – herunder også internationale - om forhold af betydning for anvendelse af forordningen. Dette kan gælde helt overordnende generelle problemstillinger og temaer, fastlæggelse af hensigtsmæssige procedurer for samarbejdet og koordination af fælles sager, herunder særligt de sager, hvor den ene af myndighederne påtænker at give afslag. </w:t>
      </w:r>
    </w:p>
    <w:p w14:paraId="11340664" w14:textId="77777777" w:rsidR="00E476F6" w:rsidRDefault="00E476F6" w:rsidP="00E476F6">
      <w:pPr>
        <w:rPr>
          <w:rFonts w:eastAsia="Times New Roman" w:cs="Times New Roman"/>
          <w:bCs/>
          <w:color w:val="000000"/>
          <w:lang w:eastAsia="da-DK"/>
        </w:rPr>
      </w:pPr>
    </w:p>
    <w:p w14:paraId="13E5F449" w14:textId="77777777" w:rsidR="00E476F6" w:rsidRDefault="00E476F6" w:rsidP="00E476F6">
      <w:pPr>
        <w:rPr>
          <w:rFonts w:eastAsia="Times New Roman" w:cs="Times New Roman"/>
          <w:bCs/>
          <w:color w:val="000000"/>
          <w:lang w:eastAsia="da-DK"/>
        </w:rPr>
      </w:pPr>
      <w:r>
        <w:rPr>
          <w:rFonts w:eastAsia="Times New Roman" w:cs="Times New Roman"/>
          <w:bCs/>
          <w:color w:val="000000"/>
          <w:lang w:eastAsia="da-DK"/>
        </w:rPr>
        <w:t>Det forudsættes desuden at myndighederne generelt holder hinanden orienteret om væsentlige forhold, som er af betydning for myndighederne opgavevaretagelse efter forordningen samt koordinerer deltagelsen i møder i relevante forum i Det Europæiske Lægemiddelagentur (EMA) og Den Europæiske Union.</w:t>
      </w:r>
    </w:p>
    <w:p w14:paraId="77D952B5" w14:textId="77777777" w:rsidR="00E476F6" w:rsidRDefault="00E476F6" w:rsidP="00E476F6">
      <w:pPr>
        <w:rPr>
          <w:rFonts w:eastAsia="Times New Roman" w:cs="Times New Roman"/>
          <w:bCs/>
          <w:color w:val="000000"/>
          <w:lang w:eastAsia="da-DK"/>
        </w:rPr>
      </w:pPr>
    </w:p>
    <w:p w14:paraId="6746E0D0" w14:textId="77777777" w:rsidR="00E476F6" w:rsidRPr="00577043" w:rsidRDefault="00E476F6" w:rsidP="00E476F6">
      <w:pPr>
        <w:rPr>
          <w:rFonts w:eastAsia="Times New Roman" w:cs="Times New Roman"/>
          <w:bCs/>
          <w:color w:val="000000"/>
          <w:lang w:eastAsia="da-DK"/>
        </w:rPr>
      </w:pPr>
      <w:r w:rsidRPr="00577043">
        <w:rPr>
          <w:rFonts w:eastAsia="Times New Roman" w:cs="Times New Roman"/>
          <w:bCs/>
          <w:color w:val="000000"/>
          <w:lang w:eastAsia="da-DK"/>
        </w:rPr>
        <w:t xml:space="preserve">Det skal understreges, at den videnskabsetiske komité skal være et uafhængigt organ, jf. forordningens </w:t>
      </w:r>
      <w:r w:rsidR="00BE5415" w:rsidRPr="00577043">
        <w:rPr>
          <w:rFonts w:eastAsia="Times New Roman" w:cs="Times New Roman"/>
          <w:bCs/>
          <w:color w:val="000000"/>
          <w:lang w:eastAsia="da-DK"/>
        </w:rPr>
        <w:t>art</w:t>
      </w:r>
      <w:r w:rsidR="00BE5415">
        <w:rPr>
          <w:rFonts w:eastAsia="Times New Roman" w:cs="Times New Roman"/>
          <w:bCs/>
          <w:color w:val="000000"/>
          <w:lang w:eastAsia="da-DK"/>
        </w:rPr>
        <w:t>ikel</w:t>
      </w:r>
      <w:r w:rsidR="00BE5415" w:rsidRPr="00577043">
        <w:rPr>
          <w:rFonts w:eastAsia="Times New Roman" w:cs="Times New Roman"/>
          <w:bCs/>
          <w:color w:val="000000"/>
          <w:lang w:eastAsia="da-DK"/>
        </w:rPr>
        <w:t xml:space="preserve"> </w:t>
      </w:r>
      <w:r w:rsidRPr="00577043">
        <w:rPr>
          <w:rFonts w:eastAsia="Times New Roman" w:cs="Times New Roman"/>
          <w:bCs/>
          <w:color w:val="000000"/>
          <w:lang w:eastAsia="da-DK"/>
        </w:rPr>
        <w:t>2, stk. 2, nr. 11, og den videnskabsetiske vurdering skal således ske på et fagligt oplyst</w:t>
      </w:r>
      <w:r>
        <w:rPr>
          <w:rFonts w:eastAsia="Times New Roman" w:cs="Times New Roman"/>
          <w:bCs/>
          <w:color w:val="000000"/>
          <w:lang w:eastAsia="da-DK"/>
        </w:rPr>
        <w:t xml:space="preserve"> grundlag, men uafhængigt af Lægemiddelstyrelsen</w:t>
      </w:r>
      <w:r w:rsidRPr="00577043">
        <w:rPr>
          <w:rFonts w:eastAsia="Times New Roman" w:cs="Times New Roman"/>
          <w:bCs/>
          <w:color w:val="000000"/>
          <w:lang w:eastAsia="da-DK"/>
        </w:rPr>
        <w:t>.</w:t>
      </w:r>
    </w:p>
    <w:p w14:paraId="252B7D88" w14:textId="77777777" w:rsidR="00E476F6" w:rsidRDefault="00E476F6" w:rsidP="00E476F6">
      <w:pPr>
        <w:rPr>
          <w:rFonts w:eastAsia="Times New Roman" w:cs="Times New Roman"/>
          <w:color w:val="000000"/>
          <w:lang w:eastAsia="da-DK"/>
        </w:rPr>
      </w:pPr>
    </w:p>
    <w:p w14:paraId="107B8873" w14:textId="77777777" w:rsidR="00E476F6" w:rsidRPr="00577043" w:rsidRDefault="00E476F6" w:rsidP="00E476F6">
      <w:pPr>
        <w:rPr>
          <w:rFonts w:eastAsia="Times New Roman" w:cs="Times New Roman"/>
          <w:color w:val="000000"/>
          <w:lang w:eastAsia="da-DK"/>
        </w:rPr>
      </w:pPr>
      <w:r w:rsidRPr="00577043">
        <w:rPr>
          <w:rFonts w:eastAsia="Times New Roman" w:cs="Times New Roman"/>
          <w:color w:val="000000"/>
          <w:lang w:eastAsia="da-DK"/>
        </w:rPr>
        <w:t xml:space="preserve">Med </w:t>
      </w:r>
      <w:r w:rsidRPr="009B13C4">
        <w:rPr>
          <w:rFonts w:eastAsia="Times New Roman" w:cs="Times New Roman"/>
          <w:i/>
          <w:color w:val="000000"/>
          <w:lang w:eastAsia="da-DK"/>
        </w:rPr>
        <w:t xml:space="preserve">§ </w:t>
      </w:r>
      <w:r w:rsidR="008C64E7">
        <w:rPr>
          <w:rFonts w:eastAsia="Times New Roman" w:cs="Times New Roman"/>
          <w:i/>
          <w:color w:val="000000"/>
          <w:lang w:eastAsia="da-DK"/>
        </w:rPr>
        <w:t>9</w:t>
      </w:r>
      <w:r w:rsidRPr="009B13C4">
        <w:rPr>
          <w:rFonts w:eastAsia="Times New Roman" w:cs="Times New Roman"/>
          <w:i/>
          <w:color w:val="000000"/>
          <w:lang w:eastAsia="da-DK"/>
        </w:rPr>
        <w:t>, stk. 2</w:t>
      </w:r>
      <w:r w:rsidRPr="00577043">
        <w:rPr>
          <w:rFonts w:eastAsia="Times New Roman" w:cs="Times New Roman"/>
          <w:color w:val="000000"/>
          <w:lang w:eastAsia="da-DK"/>
        </w:rPr>
        <w:t xml:space="preserve">, foreslås det, at </w:t>
      </w:r>
      <w:r>
        <w:rPr>
          <w:rFonts w:eastAsia="Times New Roman" w:cs="Times New Roman"/>
          <w:color w:val="000000"/>
          <w:lang w:eastAsia="da-DK"/>
        </w:rPr>
        <w:t>Lægemiddelstyrelsen</w:t>
      </w:r>
      <w:r w:rsidRPr="00577043">
        <w:rPr>
          <w:rFonts w:eastAsia="Times New Roman" w:cs="Times New Roman"/>
          <w:color w:val="000000"/>
          <w:lang w:eastAsia="da-DK"/>
        </w:rPr>
        <w:t xml:space="preserve"> skal varetage funktionen som nationalt kontaktpunkt, jf. forordningens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sidRPr="00577043">
        <w:rPr>
          <w:rFonts w:eastAsia="Times New Roman" w:cs="Times New Roman"/>
          <w:color w:val="000000"/>
          <w:lang w:eastAsia="da-DK"/>
        </w:rPr>
        <w:t xml:space="preserve"> </w:t>
      </w:r>
      <w:r w:rsidRPr="00577043">
        <w:rPr>
          <w:rFonts w:eastAsia="Times New Roman" w:cs="Times New Roman"/>
          <w:color w:val="000000"/>
          <w:lang w:eastAsia="da-DK"/>
        </w:rPr>
        <w:t xml:space="preserve">83. Dette indebærer bl.a., at det er </w:t>
      </w:r>
      <w:r>
        <w:rPr>
          <w:rFonts w:eastAsia="Times New Roman" w:cs="Times New Roman"/>
          <w:color w:val="000000"/>
          <w:lang w:eastAsia="da-DK"/>
        </w:rPr>
        <w:t>Lægemiddelstyrelsen</w:t>
      </w:r>
      <w:r w:rsidRPr="00577043">
        <w:rPr>
          <w:rFonts w:eastAsia="Times New Roman" w:cs="Times New Roman"/>
          <w:color w:val="000000"/>
          <w:lang w:eastAsia="da-DK"/>
        </w:rPr>
        <w:t xml:space="preserve">, som via EU-portalen på Danmarks vegne indgiver meddelelser i medfør af forordningens kapitel II og III i forbindelse med godkendelsesproceduren for henholdsvis et klinisk forsøg og for en væsentlig ændring af et klinisk forsøg. </w:t>
      </w:r>
    </w:p>
    <w:p w14:paraId="6E2E6689" w14:textId="77777777" w:rsidR="00E476F6" w:rsidRPr="00577043" w:rsidRDefault="00E476F6" w:rsidP="00E476F6">
      <w:pPr>
        <w:rPr>
          <w:rFonts w:eastAsia="Times New Roman" w:cs="Times New Roman"/>
          <w:iCs/>
          <w:color w:val="000000"/>
          <w:lang w:eastAsia="da-DK"/>
        </w:rPr>
      </w:pPr>
      <w:r w:rsidRPr="00577043">
        <w:rPr>
          <w:rFonts w:eastAsia="Times New Roman" w:cs="Times New Roman"/>
          <w:color w:val="000000"/>
          <w:lang w:eastAsia="da-DK"/>
        </w:rPr>
        <w:t xml:space="preserve">Dog kan </w:t>
      </w:r>
      <w:r>
        <w:rPr>
          <w:rFonts w:eastAsia="Times New Roman" w:cs="Times New Roman"/>
          <w:color w:val="000000"/>
          <w:lang w:eastAsia="da-DK"/>
        </w:rPr>
        <w:t>Lægemiddelstyrelsen</w:t>
      </w:r>
      <w:r w:rsidRPr="00577043">
        <w:rPr>
          <w:rFonts w:eastAsia="Times New Roman" w:cs="Times New Roman"/>
          <w:color w:val="000000"/>
          <w:lang w:eastAsia="da-DK"/>
        </w:rPr>
        <w:t xml:space="preserve"> og den videnskabsetiske lægemiddelkomité aftale, at komiteen i nærmere fastsatte tilfælde indgiver meddelelse. Dette kan fx være relevant i forbindelse med ansøgninger, </w:t>
      </w:r>
      <w:r>
        <w:rPr>
          <w:rFonts w:eastAsia="Times New Roman" w:cs="Times New Roman"/>
          <w:color w:val="000000"/>
          <w:lang w:eastAsia="da-DK"/>
        </w:rPr>
        <w:t xml:space="preserve">om godkendelse af forsøg </w:t>
      </w:r>
      <w:r w:rsidRPr="00577043">
        <w:rPr>
          <w:rFonts w:eastAsia="Times New Roman" w:cs="Times New Roman"/>
          <w:color w:val="000000"/>
          <w:lang w:eastAsia="da-DK"/>
        </w:rPr>
        <w:t>eller væsentlige ændringer</w:t>
      </w:r>
      <w:r>
        <w:rPr>
          <w:rFonts w:eastAsia="Times New Roman" w:cs="Times New Roman"/>
          <w:color w:val="000000"/>
          <w:lang w:eastAsia="da-DK"/>
        </w:rPr>
        <w:t xml:space="preserve"> til forsøg</w:t>
      </w:r>
      <w:r w:rsidRPr="00577043">
        <w:rPr>
          <w:rFonts w:eastAsia="Times New Roman" w:cs="Times New Roman"/>
          <w:color w:val="000000"/>
          <w:lang w:eastAsia="da-DK"/>
        </w:rPr>
        <w:t xml:space="preserve">, når disse alene vedrører </w:t>
      </w:r>
      <w:r>
        <w:rPr>
          <w:rFonts w:eastAsia="Times New Roman" w:cs="Times New Roman"/>
          <w:color w:val="000000"/>
          <w:lang w:eastAsia="da-DK"/>
        </w:rPr>
        <w:t>a</w:t>
      </w:r>
      <w:r w:rsidRPr="00577043">
        <w:rPr>
          <w:rFonts w:eastAsia="Times New Roman" w:cs="Times New Roman"/>
          <w:color w:val="000000"/>
          <w:lang w:eastAsia="da-DK"/>
        </w:rPr>
        <w:t xml:space="preserve">spekter omfattet af del II af vurderingsrapporten, og hvor en komité afgør, om det kliniske forsøg godkendes, jf. hhv. den foreslåede </w:t>
      </w:r>
      <w:r w:rsidRPr="00A741A1">
        <w:rPr>
          <w:rFonts w:eastAsia="Times New Roman" w:cs="Times New Roman"/>
          <w:color w:val="000000"/>
          <w:lang w:eastAsia="da-DK"/>
        </w:rPr>
        <w:t xml:space="preserve">§ </w:t>
      </w:r>
      <w:r w:rsidR="0095791F">
        <w:rPr>
          <w:rFonts w:eastAsia="Times New Roman" w:cs="Times New Roman"/>
          <w:color w:val="000000"/>
          <w:lang w:eastAsia="da-DK"/>
        </w:rPr>
        <w:t>10</w:t>
      </w:r>
      <w:r w:rsidRPr="00A741A1">
        <w:rPr>
          <w:rFonts w:eastAsia="Times New Roman" w:cs="Times New Roman"/>
          <w:color w:val="000000"/>
          <w:lang w:eastAsia="da-DK"/>
        </w:rPr>
        <w:t xml:space="preserve">, stk. 3 og § </w:t>
      </w:r>
      <w:r w:rsidR="0095791F">
        <w:rPr>
          <w:rFonts w:eastAsia="Times New Roman" w:cs="Times New Roman"/>
          <w:color w:val="000000"/>
          <w:lang w:eastAsia="da-DK"/>
        </w:rPr>
        <w:t>11</w:t>
      </w:r>
      <w:r w:rsidRPr="00A741A1">
        <w:rPr>
          <w:rFonts w:eastAsia="Times New Roman" w:cs="Times New Roman"/>
          <w:color w:val="000000"/>
          <w:lang w:eastAsia="da-DK"/>
        </w:rPr>
        <w:t>, stk. 2.</w:t>
      </w:r>
      <w:r w:rsidRPr="00D15BA0">
        <w:rPr>
          <w:rFonts w:eastAsia="Times New Roman" w:cs="Times New Roman"/>
          <w:b/>
          <w:color w:val="000000"/>
          <w:lang w:eastAsia="da-DK"/>
        </w:rPr>
        <w:t xml:space="preserve"> </w:t>
      </w:r>
    </w:p>
    <w:p w14:paraId="05208FE8" w14:textId="77777777" w:rsidR="00E476F6" w:rsidRDefault="00E476F6" w:rsidP="00E476F6">
      <w:pPr>
        <w:rPr>
          <w:rFonts w:eastAsia="Times New Roman" w:cs="Times New Roman"/>
          <w:color w:val="000000"/>
          <w:lang w:eastAsia="da-DK"/>
        </w:rPr>
      </w:pPr>
    </w:p>
    <w:p w14:paraId="4D3D6DC1" w14:textId="77777777" w:rsidR="00E476F6" w:rsidRPr="00577043" w:rsidRDefault="00E476F6" w:rsidP="00E476F6">
      <w:pPr>
        <w:rPr>
          <w:rFonts w:eastAsia="Times New Roman" w:cs="Times New Roman"/>
          <w:bCs/>
          <w:color w:val="000000"/>
          <w:lang w:eastAsia="da-DK"/>
        </w:rPr>
      </w:pPr>
      <w:r w:rsidRPr="00577043">
        <w:rPr>
          <w:rFonts w:eastAsia="Times New Roman" w:cs="Times New Roman"/>
          <w:bCs/>
          <w:color w:val="000000"/>
          <w:lang w:eastAsia="da-DK"/>
        </w:rPr>
        <w:t>I forbindelse med ansøgninger, hvor Danmark er rapporterende medlemsstat, foreslås det</w:t>
      </w:r>
      <w:r>
        <w:rPr>
          <w:rFonts w:eastAsia="Times New Roman" w:cs="Times New Roman"/>
          <w:bCs/>
          <w:color w:val="000000"/>
          <w:lang w:eastAsia="da-DK"/>
        </w:rPr>
        <w:t xml:space="preserve"> med </w:t>
      </w:r>
      <w:r>
        <w:rPr>
          <w:rFonts w:eastAsia="Times New Roman" w:cs="Times New Roman"/>
          <w:bCs/>
          <w:i/>
          <w:color w:val="000000"/>
          <w:lang w:eastAsia="da-DK"/>
        </w:rPr>
        <w:t xml:space="preserve">§ </w:t>
      </w:r>
      <w:r w:rsidR="0013611E">
        <w:rPr>
          <w:rFonts w:eastAsia="Times New Roman" w:cs="Times New Roman"/>
          <w:bCs/>
          <w:i/>
          <w:color w:val="000000"/>
          <w:lang w:eastAsia="da-DK"/>
        </w:rPr>
        <w:t>9</w:t>
      </w:r>
      <w:r>
        <w:rPr>
          <w:rFonts w:eastAsia="Times New Roman" w:cs="Times New Roman"/>
          <w:bCs/>
          <w:i/>
          <w:color w:val="000000"/>
          <w:lang w:eastAsia="da-DK"/>
        </w:rPr>
        <w:t>, stk. 3</w:t>
      </w:r>
      <w:r w:rsidRPr="00577043">
        <w:rPr>
          <w:rFonts w:eastAsia="Times New Roman" w:cs="Times New Roman"/>
          <w:bCs/>
          <w:color w:val="000000"/>
          <w:lang w:eastAsia="da-DK"/>
        </w:rPr>
        <w:t xml:space="preserve">, at </w:t>
      </w:r>
      <w:r>
        <w:rPr>
          <w:rFonts w:eastAsia="Times New Roman" w:cs="Times New Roman"/>
          <w:bCs/>
          <w:color w:val="000000"/>
          <w:lang w:eastAsia="da-DK"/>
        </w:rPr>
        <w:t>Lægemiddelstyrelsen</w:t>
      </w:r>
      <w:r w:rsidRPr="00577043">
        <w:rPr>
          <w:rFonts w:eastAsia="Times New Roman" w:cs="Times New Roman"/>
          <w:bCs/>
          <w:color w:val="000000"/>
          <w:lang w:eastAsia="da-DK"/>
        </w:rPr>
        <w:t xml:space="preserve"> </w:t>
      </w:r>
      <w:r>
        <w:rPr>
          <w:rFonts w:eastAsia="Times New Roman" w:cs="Times New Roman"/>
          <w:bCs/>
          <w:color w:val="000000"/>
          <w:lang w:eastAsia="da-DK"/>
        </w:rPr>
        <w:t xml:space="preserve">varetager alle opgaver pålagt Danmark som rapporterende medlemsstat i henhold til forordningen, medmindre andet udtrykkeligt er angivet i denne lov eller retsakter udstedt i medfør af denne lov. Dette indebærer fx, at Lægemiddelstyrelsen skal </w:t>
      </w:r>
      <w:r w:rsidRPr="00577043">
        <w:rPr>
          <w:rFonts w:eastAsia="Times New Roman" w:cs="Times New Roman"/>
          <w:bCs/>
          <w:color w:val="000000"/>
          <w:lang w:eastAsia="da-DK"/>
        </w:rPr>
        <w:t xml:space="preserve">validere ansøgningerne i overensstemmelse med forordningens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sidRPr="00577043">
        <w:rPr>
          <w:rFonts w:eastAsia="Times New Roman" w:cs="Times New Roman"/>
          <w:bCs/>
          <w:color w:val="000000"/>
          <w:lang w:eastAsia="da-DK"/>
        </w:rPr>
        <w:t xml:space="preserve"> </w:t>
      </w:r>
      <w:r w:rsidRPr="00577043">
        <w:rPr>
          <w:rFonts w:eastAsia="Times New Roman" w:cs="Times New Roman"/>
          <w:bCs/>
          <w:color w:val="000000"/>
          <w:lang w:eastAsia="da-DK"/>
        </w:rPr>
        <w:t xml:space="preserve">5. </w:t>
      </w:r>
      <w:r>
        <w:rPr>
          <w:rFonts w:eastAsia="Times New Roman" w:cs="Times New Roman"/>
          <w:bCs/>
          <w:color w:val="000000"/>
          <w:lang w:eastAsia="da-DK"/>
        </w:rPr>
        <w:t>Lægemiddelstyrelsen</w:t>
      </w:r>
      <w:r w:rsidRPr="00577043">
        <w:rPr>
          <w:rFonts w:eastAsia="Times New Roman" w:cs="Times New Roman"/>
          <w:bCs/>
          <w:color w:val="000000"/>
          <w:lang w:eastAsia="da-DK"/>
        </w:rPr>
        <w:t xml:space="preserve"> inddrager den videnskabsetiske komités vurdering, </w:t>
      </w:r>
      <w:r>
        <w:rPr>
          <w:rFonts w:eastAsia="Times New Roman" w:cs="Times New Roman"/>
          <w:bCs/>
          <w:color w:val="000000"/>
          <w:lang w:eastAsia="da-DK"/>
        </w:rPr>
        <w:t xml:space="preserve">jf. den foreslåede § </w:t>
      </w:r>
      <w:r w:rsidR="00D35937">
        <w:rPr>
          <w:rFonts w:eastAsia="Times New Roman" w:cs="Times New Roman"/>
          <w:bCs/>
          <w:color w:val="000000"/>
          <w:lang w:eastAsia="da-DK"/>
        </w:rPr>
        <w:t>9</w:t>
      </w:r>
      <w:r>
        <w:rPr>
          <w:rFonts w:eastAsia="Times New Roman" w:cs="Times New Roman"/>
          <w:bCs/>
          <w:color w:val="000000"/>
          <w:lang w:eastAsia="da-DK"/>
        </w:rPr>
        <w:t xml:space="preserve">, stk. 1, </w:t>
      </w:r>
      <w:r w:rsidRPr="00577043">
        <w:rPr>
          <w:rFonts w:eastAsia="Times New Roman" w:cs="Times New Roman"/>
          <w:bCs/>
          <w:color w:val="000000"/>
          <w:lang w:eastAsia="da-DK"/>
        </w:rPr>
        <w:t>lige som styrelsen inddrager øvrige berørte medlemsstaters eventuelle overvejelser, som er relevante for valideringen af ansøgningen, jf.</w:t>
      </w:r>
      <w:r w:rsidR="00E573CB" w:rsidRPr="00E573CB">
        <w:rPr>
          <w:rFonts w:eastAsia="Times New Roman" w:cs="Times New Roman"/>
          <w:bCs/>
          <w:color w:val="000000"/>
          <w:lang w:eastAsia="da-DK"/>
        </w:rPr>
        <w:t xml:space="preserve">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Pr="00577043">
        <w:rPr>
          <w:rFonts w:eastAsia="Times New Roman" w:cs="Times New Roman"/>
          <w:bCs/>
          <w:color w:val="000000"/>
          <w:lang w:eastAsia="da-DK"/>
        </w:rPr>
        <w:t xml:space="preserve"> 5, stk. 3.</w:t>
      </w:r>
    </w:p>
    <w:p w14:paraId="48A860FA" w14:textId="77777777" w:rsidR="00E476F6" w:rsidRDefault="00E476F6" w:rsidP="00E476F6">
      <w:pPr>
        <w:rPr>
          <w:rFonts w:eastAsia="Times New Roman" w:cs="Times New Roman"/>
          <w:color w:val="000000"/>
          <w:lang w:eastAsia="da-DK"/>
        </w:rPr>
      </w:pPr>
    </w:p>
    <w:p w14:paraId="7E9D24D1" w14:textId="77777777" w:rsidR="00E476F6" w:rsidRDefault="00E476F6" w:rsidP="00E476F6">
      <w:pPr>
        <w:rPr>
          <w:rFonts w:eastAsia="Times New Roman" w:cs="Times New Roman"/>
          <w:color w:val="000000"/>
          <w:lang w:eastAsia="da-DK"/>
        </w:rPr>
      </w:pPr>
      <w:r>
        <w:rPr>
          <w:rFonts w:eastAsia="Times New Roman" w:cs="Times New Roman"/>
          <w:color w:val="000000"/>
          <w:lang w:eastAsia="da-DK"/>
        </w:rPr>
        <w:t>Det foreslås med</w:t>
      </w:r>
      <w:r>
        <w:rPr>
          <w:color w:val="000000"/>
          <w:lang w:eastAsia="da-DK"/>
        </w:rPr>
        <w:t xml:space="preserve"> § </w:t>
      </w:r>
      <w:r w:rsidR="00D35937">
        <w:rPr>
          <w:color w:val="000000"/>
          <w:lang w:eastAsia="da-DK"/>
        </w:rPr>
        <w:t>9</w:t>
      </w:r>
      <w:r>
        <w:rPr>
          <w:color w:val="000000"/>
          <w:lang w:eastAsia="da-DK"/>
        </w:rPr>
        <w:t>, stk. 4, at det er Lægemiddelstyrelsen, som foretager vurderingen af, om et forsøg eller aktiviteter falder inden for denne lov og forordningen</w:t>
      </w:r>
      <w:r>
        <w:rPr>
          <w:rFonts w:eastAsia="Times New Roman" w:cs="Times New Roman"/>
          <w:color w:val="000000"/>
          <w:lang w:eastAsia="da-DK"/>
        </w:rPr>
        <w:t>.</w:t>
      </w:r>
    </w:p>
    <w:p w14:paraId="6D9A697F" w14:textId="77777777" w:rsidR="006772E0" w:rsidRPr="00AA340B" w:rsidRDefault="006772E0" w:rsidP="00E476F6">
      <w:pPr>
        <w:rPr>
          <w:rFonts w:eastAsia="Times New Roman" w:cs="Times New Roman"/>
          <w:color w:val="000000"/>
          <w:lang w:eastAsia="da-DK"/>
        </w:rPr>
      </w:pPr>
    </w:p>
    <w:p w14:paraId="57CE2BD7" w14:textId="77777777" w:rsidR="00D35937" w:rsidRPr="00D35937" w:rsidRDefault="00D35937" w:rsidP="00D35937">
      <w:pPr>
        <w:pStyle w:val="Overskrift2"/>
        <w:jc w:val="left"/>
        <w:rPr>
          <w:rFonts w:eastAsia="Times New Roman"/>
          <w:iCs/>
          <w:lang w:eastAsia="da-DK"/>
        </w:rPr>
      </w:pPr>
      <w:r w:rsidRPr="00D35937">
        <w:rPr>
          <w:rFonts w:eastAsia="Times New Roman"/>
          <w:iCs/>
          <w:lang w:eastAsia="da-DK"/>
        </w:rPr>
        <w:t>Til § 10 [Afgørelse om godkendelse af forsøg]</w:t>
      </w:r>
    </w:p>
    <w:p w14:paraId="1B74B6F1" w14:textId="77777777" w:rsidR="00E476F6" w:rsidRPr="00577043" w:rsidRDefault="00E476F6" w:rsidP="00E476F6">
      <w:pPr>
        <w:rPr>
          <w:rFonts w:eastAsia="Times New Roman" w:cs="Times New Roman"/>
          <w:color w:val="000000"/>
          <w:lang w:eastAsia="da-DK"/>
        </w:rPr>
      </w:pPr>
      <w:r w:rsidRPr="00577043">
        <w:rPr>
          <w:rFonts w:eastAsia="Times New Roman" w:cs="Times New Roman"/>
          <w:iCs/>
          <w:color w:val="000000"/>
          <w:lang w:eastAsia="da-DK"/>
        </w:rPr>
        <w:t xml:space="preserve">Med </w:t>
      </w:r>
      <w:r w:rsidRPr="009B13C4">
        <w:rPr>
          <w:rFonts w:eastAsia="Times New Roman" w:cs="Times New Roman"/>
          <w:i/>
          <w:iCs/>
          <w:color w:val="000000"/>
          <w:lang w:eastAsia="da-DK"/>
        </w:rPr>
        <w:t xml:space="preserve">§ </w:t>
      </w:r>
      <w:r w:rsidR="00D35937">
        <w:rPr>
          <w:rFonts w:eastAsia="Times New Roman" w:cs="Times New Roman"/>
          <w:i/>
          <w:iCs/>
          <w:color w:val="000000"/>
          <w:lang w:eastAsia="da-DK"/>
        </w:rPr>
        <w:t>10</w:t>
      </w:r>
      <w:r w:rsidRPr="009B13C4">
        <w:rPr>
          <w:rFonts w:eastAsia="Times New Roman" w:cs="Times New Roman"/>
          <w:i/>
          <w:iCs/>
          <w:color w:val="000000"/>
          <w:lang w:eastAsia="da-DK"/>
        </w:rPr>
        <w:t>, stk. 1</w:t>
      </w:r>
      <w:r w:rsidRPr="00577043">
        <w:rPr>
          <w:rFonts w:eastAsia="Times New Roman" w:cs="Times New Roman"/>
          <w:iCs/>
          <w:color w:val="000000"/>
          <w:lang w:eastAsia="da-DK"/>
        </w:rPr>
        <w:t xml:space="preserve">, foreslås, at </w:t>
      </w:r>
      <w:r>
        <w:rPr>
          <w:rFonts w:eastAsia="Times New Roman" w:cs="Times New Roman"/>
          <w:color w:val="000000"/>
          <w:lang w:eastAsia="da-DK"/>
        </w:rPr>
        <w:t>Lægemiddelstyrelsen</w:t>
      </w:r>
      <w:r w:rsidRPr="00577043">
        <w:rPr>
          <w:rFonts w:eastAsia="Times New Roman" w:cs="Times New Roman"/>
          <w:color w:val="000000"/>
          <w:lang w:eastAsia="da-DK"/>
        </w:rPr>
        <w:t xml:space="preserve"> træffer afgørelse, om et kliniske forsøg godkendes, om det godkendes på visse betingelser, eller om der gives afslag på godkendelse og meddeler afgørelsen i overensstemmelse med artikel 8, stk. 1. Tilsvarende foreslås</w:t>
      </w:r>
      <w:r>
        <w:rPr>
          <w:rFonts w:eastAsia="Times New Roman" w:cs="Times New Roman"/>
          <w:color w:val="000000"/>
          <w:lang w:eastAsia="da-DK"/>
        </w:rPr>
        <w:t xml:space="preserve"> det</w:t>
      </w:r>
      <w:r w:rsidRPr="00577043">
        <w:rPr>
          <w:rFonts w:eastAsia="Times New Roman" w:cs="Times New Roman"/>
          <w:color w:val="000000"/>
          <w:lang w:eastAsia="da-DK"/>
        </w:rPr>
        <w:t xml:space="preserve">, at </w:t>
      </w:r>
      <w:r>
        <w:rPr>
          <w:rFonts w:eastAsia="Times New Roman" w:cs="Times New Roman"/>
          <w:color w:val="000000"/>
          <w:lang w:eastAsia="da-DK"/>
        </w:rPr>
        <w:t>Lægemiddelstyrelsen</w:t>
      </w:r>
      <w:r w:rsidRPr="00577043">
        <w:rPr>
          <w:rFonts w:eastAsia="Times New Roman" w:cs="Times New Roman"/>
          <w:color w:val="000000"/>
          <w:lang w:eastAsia="da-DK"/>
        </w:rPr>
        <w:t xml:space="preserve">, træffer afgørelse, når en sponsor </w:t>
      </w:r>
      <w:r>
        <w:rPr>
          <w:rFonts w:eastAsia="Times New Roman" w:cs="Times New Roman"/>
          <w:color w:val="000000"/>
          <w:lang w:eastAsia="da-DK"/>
        </w:rPr>
        <w:t xml:space="preserve">ansøger om godkendelse til </w:t>
      </w:r>
      <w:r w:rsidRPr="00577043">
        <w:rPr>
          <w:rFonts w:eastAsia="Times New Roman" w:cs="Times New Roman"/>
          <w:color w:val="000000"/>
          <w:lang w:eastAsia="da-DK"/>
        </w:rPr>
        <w:t xml:space="preserve">at udvide et godkendt klinisk forsøg til at omfatte Danmark, </w:t>
      </w:r>
      <w:r>
        <w:rPr>
          <w:rFonts w:eastAsia="Times New Roman" w:cs="Times New Roman"/>
          <w:color w:val="000000"/>
          <w:lang w:eastAsia="da-DK"/>
        </w:rPr>
        <w:t>jf.</w:t>
      </w:r>
      <w:r w:rsidRPr="00577043">
        <w:rPr>
          <w:rFonts w:eastAsia="Times New Roman" w:cs="Times New Roman"/>
          <w:color w:val="000000"/>
          <w:lang w:eastAsia="da-DK"/>
        </w:rPr>
        <w:t xml:space="preserve"> artikel 14, stk. 3, i forordningen. </w:t>
      </w:r>
    </w:p>
    <w:p w14:paraId="679AFB3D" w14:textId="77777777" w:rsidR="00E476F6" w:rsidRPr="00577043" w:rsidRDefault="00E476F6" w:rsidP="00E476F6">
      <w:pPr>
        <w:rPr>
          <w:rFonts w:eastAsia="Times New Roman" w:cs="Times New Roman"/>
          <w:color w:val="000000"/>
          <w:lang w:eastAsia="da-DK"/>
        </w:rPr>
      </w:pPr>
    </w:p>
    <w:p w14:paraId="3FA53C23" w14:textId="77777777" w:rsidR="00E476F6" w:rsidRPr="00577043" w:rsidRDefault="00E476F6" w:rsidP="00E476F6">
      <w:pPr>
        <w:keepNext/>
        <w:keepLines/>
        <w:rPr>
          <w:rFonts w:eastAsia="Times New Roman" w:cs="Times New Roman"/>
          <w:color w:val="000000"/>
          <w:lang w:eastAsia="da-DK"/>
        </w:rPr>
      </w:pPr>
      <w:r w:rsidRPr="00577043">
        <w:rPr>
          <w:rFonts w:eastAsia="Times New Roman" w:cs="Times New Roman"/>
          <w:color w:val="000000"/>
          <w:lang w:eastAsia="da-DK"/>
        </w:rPr>
        <w:t xml:space="preserve">Det foreslås </w:t>
      </w:r>
      <w:r>
        <w:rPr>
          <w:rFonts w:eastAsia="Times New Roman" w:cs="Times New Roman"/>
          <w:color w:val="000000"/>
          <w:lang w:eastAsia="da-DK"/>
        </w:rPr>
        <w:t>endvidere m</w:t>
      </w:r>
      <w:r w:rsidRPr="00577043">
        <w:rPr>
          <w:rFonts w:eastAsia="Times New Roman" w:cs="Times New Roman"/>
          <w:color w:val="000000"/>
          <w:lang w:eastAsia="da-DK"/>
        </w:rPr>
        <w:t xml:space="preserve">ed </w:t>
      </w:r>
      <w:r w:rsidRPr="009B13C4">
        <w:rPr>
          <w:rFonts w:eastAsia="Times New Roman" w:cs="Times New Roman"/>
          <w:i/>
          <w:color w:val="000000"/>
          <w:lang w:eastAsia="da-DK"/>
        </w:rPr>
        <w:t xml:space="preserve">§ </w:t>
      </w:r>
      <w:r w:rsidR="00F255DE">
        <w:rPr>
          <w:rFonts w:eastAsia="Times New Roman" w:cs="Times New Roman"/>
          <w:i/>
          <w:color w:val="000000"/>
          <w:lang w:eastAsia="da-DK"/>
        </w:rPr>
        <w:t>10</w:t>
      </w:r>
      <w:r w:rsidRPr="009B13C4">
        <w:rPr>
          <w:rFonts w:eastAsia="Times New Roman" w:cs="Times New Roman"/>
          <w:i/>
          <w:color w:val="000000"/>
          <w:lang w:eastAsia="da-DK"/>
        </w:rPr>
        <w:t>, stk. 2</w:t>
      </w:r>
      <w:r w:rsidRPr="00577043">
        <w:rPr>
          <w:rFonts w:eastAsia="Times New Roman" w:cs="Times New Roman"/>
          <w:color w:val="000000"/>
          <w:lang w:eastAsia="da-DK"/>
        </w:rPr>
        <w:t xml:space="preserve">, at </w:t>
      </w:r>
      <w:r>
        <w:rPr>
          <w:rFonts w:eastAsia="Times New Roman" w:cs="Times New Roman"/>
          <w:color w:val="000000"/>
          <w:lang w:eastAsia="da-DK"/>
        </w:rPr>
        <w:t xml:space="preserve">for </w:t>
      </w:r>
      <w:r w:rsidRPr="00577043">
        <w:rPr>
          <w:rFonts w:eastAsia="Times New Roman" w:cs="Times New Roman"/>
          <w:color w:val="000000"/>
          <w:lang w:eastAsia="da-DK"/>
        </w:rPr>
        <w:t>ansøgning</w:t>
      </w:r>
      <w:r>
        <w:rPr>
          <w:rFonts w:eastAsia="Times New Roman" w:cs="Times New Roman"/>
          <w:color w:val="000000"/>
          <w:lang w:eastAsia="da-DK"/>
        </w:rPr>
        <w:t>er, der</w:t>
      </w:r>
      <w:r w:rsidRPr="00577043">
        <w:rPr>
          <w:rFonts w:eastAsia="Times New Roman" w:cs="Times New Roman"/>
          <w:color w:val="000000"/>
          <w:lang w:eastAsia="da-DK"/>
        </w:rPr>
        <w:t xml:space="preserve"> alene vedrører aspekter af del I af vurderingsrapporten, </w:t>
      </w:r>
      <w:r>
        <w:rPr>
          <w:rFonts w:eastAsia="Times New Roman" w:cs="Times New Roman"/>
          <w:color w:val="000000"/>
          <w:lang w:eastAsia="da-DK"/>
        </w:rPr>
        <w:t xml:space="preserve">er det Lægemiddelstyrelsen, </w:t>
      </w:r>
      <w:r w:rsidRPr="00577043">
        <w:rPr>
          <w:rFonts w:eastAsia="Times New Roman" w:cs="Times New Roman"/>
          <w:color w:val="000000"/>
          <w:lang w:eastAsia="da-DK"/>
        </w:rPr>
        <w:t xml:space="preserve">som erklærer, at Danmark er uenig i den rapporterende medlemsstats konklusion, jf.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sidRPr="00577043">
        <w:rPr>
          <w:rFonts w:eastAsia="Times New Roman" w:cs="Times New Roman"/>
          <w:color w:val="000000"/>
          <w:lang w:eastAsia="da-DK"/>
        </w:rPr>
        <w:t xml:space="preserve"> </w:t>
      </w:r>
      <w:r w:rsidRPr="00577043">
        <w:rPr>
          <w:rFonts w:eastAsia="Times New Roman" w:cs="Times New Roman"/>
          <w:color w:val="000000"/>
          <w:lang w:eastAsia="da-DK"/>
        </w:rPr>
        <w:t>8, stk. 2, i forordningen</w:t>
      </w:r>
      <w:r>
        <w:rPr>
          <w:rFonts w:eastAsia="Times New Roman" w:cs="Times New Roman"/>
          <w:iCs/>
          <w:color w:val="000000"/>
          <w:lang w:eastAsia="da-DK"/>
        </w:rPr>
        <w:t xml:space="preserve">, såfremt </w:t>
      </w:r>
      <w:r w:rsidRPr="00577043">
        <w:rPr>
          <w:rFonts w:eastAsia="Times New Roman" w:cs="Times New Roman"/>
          <w:iCs/>
          <w:color w:val="000000"/>
          <w:lang w:eastAsia="da-DK"/>
        </w:rPr>
        <w:t xml:space="preserve">enten </w:t>
      </w:r>
      <w:r>
        <w:rPr>
          <w:rFonts w:eastAsia="Times New Roman" w:cs="Times New Roman"/>
          <w:iCs/>
          <w:color w:val="000000"/>
          <w:lang w:eastAsia="da-DK"/>
        </w:rPr>
        <w:t>Lægemiddelstyrelsen</w:t>
      </w:r>
      <w:r w:rsidRPr="00577043">
        <w:rPr>
          <w:rFonts w:eastAsia="Times New Roman" w:cs="Times New Roman"/>
          <w:iCs/>
          <w:color w:val="000000"/>
          <w:lang w:eastAsia="da-DK"/>
        </w:rPr>
        <w:t xml:space="preserve"> eller den videnskabsetiske lægemiddelkomité er uenig i den nævnte konklusion. </w:t>
      </w:r>
      <w:r w:rsidRPr="00577043">
        <w:rPr>
          <w:rFonts w:eastAsia="Times New Roman" w:cs="Times New Roman"/>
          <w:color w:val="000000"/>
          <w:lang w:eastAsia="da-DK"/>
        </w:rPr>
        <w:t xml:space="preserve">Hvis den videnskabsetiske komité ikke meddeler </w:t>
      </w:r>
      <w:r>
        <w:rPr>
          <w:rFonts w:eastAsia="Times New Roman" w:cs="Times New Roman"/>
          <w:color w:val="000000"/>
          <w:lang w:eastAsia="da-DK"/>
        </w:rPr>
        <w:t>Lægemiddelstyrelsen</w:t>
      </w:r>
      <w:r w:rsidRPr="00577043">
        <w:rPr>
          <w:rFonts w:eastAsia="Times New Roman" w:cs="Times New Roman"/>
          <w:color w:val="000000"/>
          <w:lang w:eastAsia="da-DK"/>
        </w:rPr>
        <w:t xml:space="preserve">, at den er uenig inden for en frist fastsat i medfør af </w:t>
      </w:r>
      <w:r>
        <w:rPr>
          <w:rFonts w:eastAsia="Times New Roman" w:cs="Times New Roman"/>
          <w:color w:val="000000"/>
          <w:lang w:eastAsia="da-DK"/>
        </w:rPr>
        <w:t>den foreslåede §</w:t>
      </w:r>
      <w:r w:rsidR="0006554B">
        <w:rPr>
          <w:rFonts w:eastAsia="Times New Roman" w:cs="Times New Roman"/>
          <w:color w:val="000000"/>
          <w:lang w:eastAsia="da-DK"/>
        </w:rPr>
        <w:t>13</w:t>
      </w:r>
      <w:r>
        <w:rPr>
          <w:rFonts w:eastAsia="Times New Roman" w:cs="Times New Roman"/>
          <w:color w:val="000000"/>
          <w:lang w:eastAsia="da-DK"/>
        </w:rPr>
        <w:t>, stk. 2,</w:t>
      </w:r>
      <w:r w:rsidRPr="00577043">
        <w:rPr>
          <w:rFonts w:eastAsia="Times New Roman" w:cs="Times New Roman"/>
          <w:color w:val="000000"/>
          <w:lang w:eastAsia="da-DK"/>
        </w:rPr>
        <w:t xml:space="preserve"> anses komiteen for at være enig i konklusionen.</w:t>
      </w:r>
      <w:r w:rsidRPr="00577043">
        <w:rPr>
          <w:rFonts w:eastAsia="Times New Roman" w:cs="Times New Roman"/>
          <w:iCs/>
          <w:color w:val="000000"/>
          <w:lang w:eastAsia="da-DK"/>
        </w:rPr>
        <w:t xml:space="preserve"> </w:t>
      </w:r>
      <w:r>
        <w:rPr>
          <w:rFonts w:eastAsia="Times New Roman" w:cs="Times New Roman"/>
          <w:color w:val="000000"/>
          <w:lang w:eastAsia="da-DK"/>
        </w:rPr>
        <w:t>Lægemiddelstyrelsen</w:t>
      </w:r>
      <w:r w:rsidRPr="00577043">
        <w:rPr>
          <w:rFonts w:eastAsia="Times New Roman" w:cs="Times New Roman"/>
          <w:color w:val="000000"/>
          <w:lang w:eastAsia="da-DK"/>
        </w:rPr>
        <w:t xml:space="preserve"> skal via EU-portalen underrette Kommissionen, alle medlemsstat</w:t>
      </w:r>
      <w:r>
        <w:rPr>
          <w:rFonts w:eastAsia="Times New Roman" w:cs="Times New Roman"/>
          <w:color w:val="000000"/>
          <w:lang w:eastAsia="da-DK"/>
        </w:rPr>
        <w:t xml:space="preserve">er og sponsor, såfremt Danmark er uenig i konklusionen </w:t>
      </w:r>
      <w:r w:rsidRPr="00577043">
        <w:rPr>
          <w:rFonts w:eastAsia="Times New Roman" w:cs="Times New Roman"/>
          <w:color w:val="000000"/>
          <w:lang w:eastAsia="da-DK"/>
        </w:rPr>
        <w:t xml:space="preserve">og give en detaljeret begrundelse. </w:t>
      </w:r>
    </w:p>
    <w:p w14:paraId="4100D08C" w14:textId="77777777" w:rsidR="00E476F6" w:rsidRDefault="00E476F6" w:rsidP="00E476F6">
      <w:pPr>
        <w:rPr>
          <w:rFonts w:eastAsia="Times New Roman" w:cs="Times New Roman"/>
          <w:color w:val="000000"/>
          <w:lang w:eastAsia="da-DK"/>
        </w:rPr>
      </w:pPr>
    </w:p>
    <w:p w14:paraId="574D6FC9" w14:textId="77777777" w:rsidR="00E476F6" w:rsidRDefault="00E476F6" w:rsidP="00E476F6">
      <w:pPr>
        <w:rPr>
          <w:rFonts w:eastAsia="Times New Roman" w:cs="Times New Roman"/>
          <w:color w:val="000000"/>
          <w:lang w:eastAsia="da-DK"/>
        </w:rPr>
      </w:pPr>
      <w:r>
        <w:rPr>
          <w:rFonts w:eastAsia="Times New Roman" w:cs="Times New Roman"/>
          <w:color w:val="000000"/>
          <w:lang w:eastAsia="da-DK"/>
        </w:rPr>
        <w:t xml:space="preserve">For ansøgninger, som alene vedrører aspekter omfattet af del II af vurderingsrapporten, foreslås det med </w:t>
      </w:r>
      <w:r w:rsidRPr="009B13C4">
        <w:rPr>
          <w:rFonts w:eastAsia="Times New Roman" w:cs="Times New Roman"/>
          <w:i/>
          <w:color w:val="000000"/>
          <w:lang w:eastAsia="da-DK"/>
        </w:rPr>
        <w:t xml:space="preserve">§ </w:t>
      </w:r>
      <w:r w:rsidR="0006554B">
        <w:rPr>
          <w:rFonts w:eastAsia="Times New Roman" w:cs="Times New Roman"/>
          <w:i/>
          <w:color w:val="000000"/>
          <w:lang w:eastAsia="da-DK"/>
        </w:rPr>
        <w:t>10</w:t>
      </w:r>
      <w:r>
        <w:rPr>
          <w:rFonts w:eastAsia="Times New Roman" w:cs="Times New Roman"/>
          <w:i/>
          <w:color w:val="000000"/>
          <w:lang w:eastAsia="da-DK"/>
        </w:rPr>
        <w:t xml:space="preserve"> a</w:t>
      </w:r>
      <w:r w:rsidRPr="009B13C4">
        <w:rPr>
          <w:rFonts w:eastAsia="Times New Roman" w:cs="Times New Roman"/>
          <w:i/>
          <w:color w:val="000000"/>
          <w:lang w:eastAsia="da-DK"/>
        </w:rPr>
        <w:t>, stk. 3</w:t>
      </w:r>
      <w:r>
        <w:rPr>
          <w:rFonts w:eastAsia="Times New Roman" w:cs="Times New Roman"/>
          <w:color w:val="000000"/>
          <w:lang w:eastAsia="da-DK"/>
        </w:rPr>
        <w:t xml:space="preserve">, at det er den videnskabsetiske lægemiddelkomité, som afgør, om et forsøg godkendes, om det godkendes på visse betingelser, eller om godkendelse afslås. Såfremt Danmark har erklæret sig uenig i den rapporterende medlemsstats konklusion om godkendelse af del I af vurderingsrapporten, vil afgørelse </w:t>
      </w:r>
      <w:r w:rsidR="00574B02">
        <w:rPr>
          <w:rFonts w:eastAsia="Times New Roman" w:cs="Times New Roman"/>
          <w:color w:val="000000"/>
          <w:lang w:eastAsia="da-DK"/>
        </w:rPr>
        <w:t>om</w:t>
      </w:r>
      <w:r>
        <w:rPr>
          <w:rFonts w:eastAsia="Times New Roman" w:cs="Times New Roman"/>
          <w:color w:val="000000"/>
          <w:lang w:eastAsia="da-DK"/>
        </w:rPr>
        <w:t xml:space="preserve"> aspekter omfattet af del II af vurderingsrapporten dog ikke være relevant.</w:t>
      </w:r>
    </w:p>
    <w:p w14:paraId="50C6658F" w14:textId="77777777" w:rsidR="00E476F6" w:rsidRDefault="00E476F6" w:rsidP="00E476F6">
      <w:pPr>
        <w:rPr>
          <w:rFonts w:eastAsia="Times New Roman" w:cs="Times New Roman"/>
          <w:color w:val="000000"/>
          <w:lang w:eastAsia="da-DK"/>
        </w:rPr>
      </w:pPr>
    </w:p>
    <w:p w14:paraId="6632FC3C" w14:textId="77777777" w:rsidR="00E476F6" w:rsidRPr="00577043" w:rsidRDefault="00E476F6" w:rsidP="00E476F6">
      <w:pPr>
        <w:rPr>
          <w:rFonts w:eastAsia="Times New Roman" w:cs="Times New Roman"/>
          <w:color w:val="000000"/>
          <w:lang w:eastAsia="da-DK"/>
        </w:rPr>
      </w:pPr>
      <w:r>
        <w:rPr>
          <w:rFonts w:eastAsia="Times New Roman" w:cs="Times New Roman"/>
          <w:color w:val="000000"/>
          <w:lang w:eastAsia="da-DK"/>
        </w:rPr>
        <w:t>Lægemiddelstyrelsen</w:t>
      </w:r>
      <w:r w:rsidRPr="00577043">
        <w:rPr>
          <w:rFonts w:eastAsia="Times New Roman" w:cs="Times New Roman"/>
          <w:color w:val="000000"/>
          <w:lang w:eastAsia="da-DK"/>
        </w:rPr>
        <w:t xml:space="preserve"> skal efter den foreslåede </w:t>
      </w:r>
      <w:r w:rsidRPr="009B13C4">
        <w:rPr>
          <w:rFonts w:eastAsia="Times New Roman" w:cs="Times New Roman"/>
          <w:i/>
          <w:color w:val="000000"/>
          <w:lang w:eastAsia="da-DK"/>
        </w:rPr>
        <w:t>§</w:t>
      </w:r>
      <w:r w:rsidR="0006554B">
        <w:rPr>
          <w:rFonts w:eastAsia="Times New Roman" w:cs="Times New Roman"/>
          <w:i/>
          <w:color w:val="000000"/>
          <w:lang w:eastAsia="da-DK"/>
        </w:rPr>
        <w:t xml:space="preserve"> 10</w:t>
      </w:r>
      <w:r w:rsidRPr="009B13C4">
        <w:rPr>
          <w:rFonts w:eastAsia="Times New Roman" w:cs="Times New Roman"/>
          <w:i/>
          <w:color w:val="000000"/>
          <w:lang w:eastAsia="da-DK"/>
        </w:rPr>
        <w:t xml:space="preserve">, stk. </w:t>
      </w:r>
      <w:r>
        <w:rPr>
          <w:rFonts w:eastAsia="Times New Roman" w:cs="Times New Roman"/>
          <w:i/>
          <w:color w:val="000000"/>
          <w:lang w:eastAsia="da-DK"/>
        </w:rPr>
        <w:t>4</w:t>
      </w:r>
      <w:r w:rsidRPr="00577043">
        <w:rPr>
          <w:rFonts w:eastAsia="Times New Roman" w:cs="Times New Roman"/>
          <w:color w:val="000000"/>
          <w:lang w:eastAsia="da-DK"/>
        </w:rPr>
        <w:t xml:space="preserve">, vurdere, om de sundhedsfaglige aspekter af del I af vurderingsrapporten er opfyldt, jf. artikel 6, stk. 1, i </w:t>
      </w:r>
      <w:r>
        <w:rPr>
          <w:rFonts w:eastAsia="Times New Roman" w:cs="Times New Roman"/>
          <w:color w:val="000000"/>
          <w:lang w:eastAsia="da-DK"/>
        </w:rPr>
        <w:t>forordningen</w:t>
      </w:r>
      <w:r w:rsidRPr="00577043">
        <w:rPr>
          <w:rFonts w:eastAsia="Times New Roman" w:cs="Times New Roman"/>
          <w:color w:val="000000"/>
          <w:lang w:eastAsia="da-DK"/>
        </w:rPr>
        <w:t xml:space="preserve">. </w:t>
      </w:r>
    </w:p>
    <w:p w14:paraId="4D03691B" w14:textId="77777777" w:rsidR="00E476F6" w:rsidRPr="00577043" w:rsidRDefault="00E476F6" w:rsidP="00E476F6">
      <w:pPr>
        <w:rPr>
          <w:rFonts w:eastAsia="Times New Roman" w:cs="Times New Roman"/>
          <w:color w:val="000000"/>
          <w:lang w:eastAsia="da-DK"/>
        </w:rPr>
      </w:pPr>
    </w:p>
    <w:p w14:paraId="16E40C73" w14:textId="77777777" w:rsidR="00E476F6" w:rsidRPr="00577043" w:rsidRDefault="00E476F6" w:rsidP="00E476F6">
      <w:pPr>
        <w:rPr>
          <w:rFonts w:eastAsia="Times New Roman" w:cs="Times New Roman"/>
          <w:color w:val="000000"/>
          <w:lang w:eastAsia="da-DK"/>
        </w:rPr>
      </w:pPr>
      <w:r w:rsidRPr="00577043">
        <w:rPr>
          <w:rFonts w:eastAsia="Times New Roman" w:cs="Times New Roman"/>
          <w:color w:val="000000"/>
          <w:lang w:eastAsia="da-DK"/>
        </w:rPr>
        <w:t xml:space="preserve">Den videnskabsetiske lægemiddelkomité skal efter den foreslåede </w:t>
      </w:r>
      <w:r w:rsidRPr="009B13C4">
        <w:rPr>
          <w:rFonts w:eastAsia="Times New Roman" w:cs="Times New Roman"/>
          <w:i/>
          <w:color w:val="000000"/>
          <w:lang w:eastAsia="da-DK"/>
        </w:rPr>
        <w:t xml:space="preserve">§ </w:t>
      </w:r>
      <w:r w:rsidR="0006554B">
        <w:rPr>
          <w:rFonts w:eastAsia="Times New Roman" w:cs="Times New Roman"/>
          <w:i/>
          <w:color w:val="000000"/>
          <w:lang w:eastAsia="da-DK"/>
        </w:rPr>
        <w:t>10</w:t>
      </w:r>
      <w:r w:rsidRPr="009B13C4">
        <w:rPr>
          <w:rFonts w:eastAsia="Times New Roman" w:cs="Times New Roman"/>
          <w:i/>
          <w:color w:val="000000"/>
          <w:lang w:eastAsia="da-DK"/>
        </w:rPr>
        <w:t xml:space="preserve">, stk. </w:t>
      </w:r>
      <w:r>
        <w:rPr>
          <w:rFonts w:eastAsia="Times New Roman" w:cs="Times New Roman"/>
          <w:i/>
          <w:color w:val="000000"/>
          <w:lang w:eastAsia="da-DK"/>
        </w:rPr>
        <w:t>5</w:t>
      </w:r>
      <w:r w:rsidRPr="00577043">
        <w:rPr>
          <w:rFonts w:eastAsia="Times New Roman" w:cs="Times New Roman"/>
          <w:color w:val="000000"/>
          <w:lang w:eastAsia="da-DK"/>
        </w:rPr>
        <w:t>, vurdere, om de videnskabsetiske aspekter af del I af vurderingsrapporten er opfyldt, jf. artikel 6, stk. 1, i forordningen og, om aspekterne omfattet af del II af vurderingsrapporten er opfyldt, jf. artikel 7, stk. 1.</w:t>
      </w:r>
    </w:p>
    <w:p w14:paraId="45BE50DF" w14:textId="77777777" w:rsidR="00E476F6" w:rsidRDefault="00E476F6" w:rsidP="00E476F6">
      <w:pPr>
        <w:rPr>
          <w:rFonts w:eastAsia="Times New Roman" w:cs="Times New Roman"/>
          <w:color w:val="000000"/>
          <w:lang w:eastAsia="da-DK"/>
        </w:rPr>
      </w:pPr>
    </w:p>
    <w:p w14:paraId="31316496" w14:textId="77777777" w:rsidR="00E476F6" w:rsidRDefault="00E476F6" w:rsidP="00E476F6">
      <w:pPr>
        <w:rPr>
          <w:rFonts w:eastAsia="Times New Roman" w:cs="Times New Roman"/>
          <w:color w:val="000000"/>
          <w:lang w:eastAsia="da-DK"/>
        </w:rPr>
      </w:pPr>
      <w:r w:rsidRPr="00577043">
        <w:rPr>
          <w:rFonts w:eastAsia="Times New Roman" w:cs="Times New Roman"/>
          <w:color w:val="000000"/>
          <w:lang w:eastAsia="da-DK"/>
        </w:rPr>
        <w:t xml:space="preserve">Det foreslås med </w:t>
      </w:r>
      <w:r w:rsidRPr="009B13C4">
        <w:rPr>
          <w:rFonts w:eastAsia="Times New Roman" w:cs="Times New Roman"/>
          <w:i/>
          <w:color w:val="000000"/>
          <w:lang w:eastAsia="da-DK"/>
        </w:rPr>
        <w:t xml:space="preserve">§ </w:t>
      </w:r>
      <w:r w:rsidR="0006554B">
        <w:rPr>
          <w:rFonts w:eastAsia="Times New Roman" w:cs="Times New Roman"/>
          <w:i/>
          <w:color w:val="000000"/>
          <w:lang w:eastAsia="da-DK"/>
        </w:rPr>
        <w:t>10</w:t>
      </w:r>
      <w:r w:rsidRPr="009B13C4">
        <w:rPr>
          <w:rFonts w:eastAsia="Times New Roman" w:cs="Times New Roman"/>
          <w:i/>
          <w:color w:val="000000"/>
          <w:lang w:eastAsia="da-DK"/>
        </w:rPr>
        <w:t xml:space="preserve">, stk. </w:t>
      </w:r>
      <w:r>
        <w:rPr>
          <w:rFonts w:eastAsia="Times New Roman" w:cs="Times New Roman"/>
          <w:i/>
          <w:color w:val="000000"/>
          <w:lang w:eastAsia="da-DK"/>
        </w:rPr>
        <w:t>6</w:t>
      </w:r>
      <w:r w:rsidRPr="00577043">
        <w:rPr>
          <w:rFonts w:eastAsia="Times New Roman" w:cs="Times New Roman"/>
          <w:color w:val="000000"/>
          <w:lang w:eastAsia="da-DK"/>
        </w:rPr>
        <w:t xml:space="preserve">, fastsat, at </w:t>
      </w:r>
      <w:r>
        <w:rPr>
          <w:rFonts w:eastAsia="Times New Roman" w:cs="Times New Roman"/>
          <w:color w:val="000000"/>
          <w:lang w:eastAsia="da-DK"/>
        </w:rPr>
        <w:t>Lægemiddelstyrelsen</w:t>
      </w:r>
      <w:r w:rsidRPr="00577043">
        <w:rPr>
          <w:rFonts w:eastAsia="Times New Roman" w:cs="Times New Roman"/>
          <w:color w:val="000000"/>
          <w:lang w:eastAsia="da-DK"/>
        </w:rPr>
        <w:t xml:space="preserve"> ikke kan godkende et klinisk forsøg, eller godkende et klinisk forsøg på visse betingelser, eller godkende en væsentlig ændring, eller godkende en væsentlig ændring på visse betingelser, hvis den videnskabsetiske lægemiddelkomité er uenig i den rapporterende medlemsstats konklusioner for så vidt angår del I af vurderingsrapporten af nogen af de grunde, som er anført i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sidRPr="00577043">
        <w:rPr>
          <w:rFonts w:eastAsia="Times New Roman" w:cs="Times New Roman"/>
          <w:color w:val="000000"/>
          <w:lang w:eastAsia="da-DK"/>
        </w:rPr>
        <w:t xml:space="preserve"> </w:t>
      </w:r>
      <w:r w:rsidRPr="00577043">
        <w:rPr>
          <w:rFonts w:eastAsia="Times New Roman" w:cs="Times New Roman"/>
          <w:color w:val="000000"/>
          <w:lang w:eastAsia="da-DK"/>
        </w:rPr>
        <w:t xml:space="preserve">8, stk. 2, i forordningen, eller hvis komiteen af behørigt begrunde årsager finder, at aspekterne omfattet af del II af vurderingsrapporten ikke er overholdt, jf.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Pr="00577043">
        <w:rPr>
          <w:rFonts w:eastAsia="Times New Roman" w:cs="Times New Roman"/>
          <w:color w:val="000000"/>
          <w:lang w:eastAsia="da-DK"/>
        </w:rPr>
        <w:t xml:space="preserve"> 8, stk. 4. Hvis den videnskabsetiske komité ikke meddeler </w:t>
      </w:r>
      <w:r>
        <w:rPr>
          <w:rFonts w:eastAsia="Times New Roman" w:cs="Times New Roman"/>
          <w:color w:val="000000"/>
          <w:lang w:eastAsia="da-DK"/>
        </w:rPr>
        <w:t>Lægemiddelstyrelsen</w:t>
      </w:r>
      <w:r w:rsidRPr="00577043">
        <w:rPr>
          <w:rFonts w:eastAsia="Times New Roman" w:cs="Times New Roman"/>
          <w:color w:val="000000"/>
          <w:lang w:eastAsia="da-DK"/>
        </w:rPr>
        <w:t>, at den er uenig inden for en frist fastsat i medfør af stk. 14, anses komiteen for at være enig i afgørelsen.</w:t>
      </w:r>
    </w:p>
    <w:p w14:paraId="4EECA5B5" w14:textId="77777777" w:rsidR="00E476F6" w:rsidRDefault="00E476F6" w:rsidP="00E476F6">
      <w:pPr>
        <w:rPr>
          <w:rFonts w:eastAsia="Times New Roman" w:cs="Times New Roman"/>
          <w:color w:val="000000"/>
          <w:lang w:eastAsia="da-DK"/>
        </w:rPr>
      </w:pPr>
      <w:r w:rsidRPr="00577043">
        <w:rPr>
          <w:rFonts w:eastAsia="Times New Roman" w:cs="Times New Roman"/>
          <w:color w:val="000000"/>
          <w:lang w:eastAsia="da-DK"/>
        </w:rPr>
        <w:t xml:space="preserve"> </w:t>
      </w:r>
    </w:p>
    <w:p w14:paraId="679DFB13" w14:textId="77777777" w:rsidR="0006554B" w:rsidRPr="00577043" w:rsidRDefault="0006554B" w:rsidP="0006554B">
      <w:pPr>
        <w:pStyle w:val="Overskrift2"/>
        <w:jc w:val="left"/>
        <w:rPr>
          <w:rFonts w:eastAsia="Times New Roman"/>
          <w:lang w:eastAsia="da-DK"/>
        </w:rPr>
      </w:pPr>
      <w:r>
        <w:rPr>
          <w:rFonts w:eastAsia="Times New Roman"/>
          <w:lang w:eastAsia="da-DK"/>
        </w:rPr>
        <w:t>Til § 11 [ændring af et forsøg]</w:t>
      </w:r>
    </w:p>
    <w:p w14:paraId="32B5FE71" w14:textId="77777777" w:rsidR="00E476F6" w:rsidRDefault="00E476F6" w:rsidP="00E476F6">
      <w:pPr>
        <w:rPr>
          <w:rFonts w:eastAsia="Times New Roman" w:cs="Times New Roman"/>
          <w:bCs/>
          <w:color w:val="000000"/>
          <w:lang w:eastAsia="da-DK"/>
        </w:rPr>
      </w:pPr>
      <w:r>
        <w:rPr>
          <w:rFonts w:eastAsia="Times New Roman" w:cs="Times New Roman"/>
          <w:bCs/>
          <w:color w:val="000000"/>
          <w:lang w:eastAsia="da-DK"/>
        </w:rPr>
        <w:t xml:space="preserve">Det foreslås med </w:t>
      </w:r>
      <w:r w:rsidRPr="009B13C4">
        <w:rPr>
          <w:rFonts w:eastAsia="Times New Roman" w:cs="Times New Roman"/>
          <w:bCs/>
          <w:i/>
          <w:color w:val="000000"/>
          <w:lang w:eastAsia="da-DK"/>
        </w:rPr>
        <w:t>§</w:t>
      </w:r>
      <w:r w:rsidR="00907BD6">
        <w:rPr>
          <w:rFonts w:eastAsia="Times New Roman" w:cs="Times New Roman"/>
          <w:bCs/>
          <w:i/>
          <w:color w:val="000000"/>
          <w:lang w:eastAsia="da-DK"/>
        </w:rPr>
        <w:t xml:space="preserve"> </w:t>
      </w:r>
      <w:r w:rsidR="0006554B">
        <w:rPr>
          <w:rFonts w:eastAsia="Times New Roman" w:cs="Times New Roman"/>
          <w:bCs/>
          <w:i/>
          <w:color w:val="000000"/>
          <w:lang w:eastAsia="da-DK"/>
        </w:rPr>
        <w:t>11</w:t>
      </w:r>
      <w:r w:rsidRPr="009B13C4">
        <w:rPr>
          <w:rFonts w:eastAsia="Times New Roman" w:cs="Times New Roman"/>
          <w:bCs/>
          <w:i/>
          <w:color w:val="000000"/>
          <w:lang w:eastAsia="da-DK"/>
        </w:rPr>
        <w:t xml:space="preserve">, stk. </w:t>
      </w:r>
      <w:r>
        <w:rPr>
          <w:rFonts w:eastAsia="Times New Roman" w:cs="Times New Roman"/>
          <w:bCs/>
          <w:i/>
          <w:color w:val="000000"/>
          <w:lang w:eastAsia="da-DK"/>
        </w:rPr>
        <w:t>1</w:t>
      </w:r>
      <w:r w:rsidRPr="00577043">
        <w:rPr>
          <w:rFonts w:eastAsia="Times New Roman" w:cs="Times New Roman"/>
          <w:bCs/>
          <w:color w:val="000000"/>
          <w:lang w:eastAsia="da-DK"/>
        </w:rPr>
        <w:t xml:space="preserve">, </w:t>
      </w:r>
      <w:r>
        <w:rPr>
          <w:rFonts w:eastAsia="Times New Roman" w:cs="Times New Roman"/>
          <w:bCs/>
          <w:color w:val="000000"/>
          <w:lang w:eastAsia="da-DK"/>
        </w:rPr>
        <w:t xml:space="preserve">at Lægemiddelstyrelsen </w:t>
      </w:r>
      <w:r w:rsidRPr="00577043">
        <w:rPr>
          <w:rFonts w:eastAsia="Times New Roman" w:cs="Times New Roman"/>
          <w:bCs/>
          <w:color w:val="000000"/>
          <w:lang w:eastAsia="da-DK"/>
        </w:rPr>
        <w:t xml:space="preserve">skal træffe afgørelse </w:t>
      </w:r>
      <w:r w:rsidR="00574B02">
        <w:rPr>
          <w:rFonts w:eastAsia="Times New Roman" w:cs="Times New Roman"/>
          <w:bCs/>
          <w:color w:val="000000"/>
          <w:lang w:eastAsia="da-DK"/>
        </w:rPr>
        <w:t>om</w:t>
      </w:r>
      <w:r w:rsidRPr="00577043">
        <w:rPr>
          <w:rFonts w:eastAsia="Times New Roman" w:cs="Times New Roman"/>
          <w:bCs/>
          <w:color w:val="000000"/>
          <w:lang w:eastAsia="da-DK"/>
        </w:rPr>
        <w:t xml:space="preserve"> ansøgninger om en væsentlig ændring af et aspekt, der er omfattet af del I af vurderingsrapporten, jf. forordningens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sidRPr="00577043">
        <w:rPr>
          <w:rFonts w:eastAsia="Times New Roman" w:cs="Times New Roman"/>
          <w:bCs/>
          <w:color w:val="000000"/>
          <w:lang w:eastAsia="da-DK"/>
        </w:rPr>
        <w:t xml:space="preserve"> </w:t>
      </w:r>
      <w:r w:rsidRPr="00577043">
        <w:rPr>
          <w:rFonts w:eastAsia="Times New Roman" w:cs="Times New Roman"/>
          <w:bCs/>
          <w:color w:val="000000"/>
          <w:lang w:eastAsia="da-DK"/>
        </w:rPr>
        <w:t xml:space="preserve">19, stk. 1, eller en væsentlig ændring af aspekt, der er omfattet af del I og II af vurderingsrapporten, jf. forordningens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sidRPr="00577043">
        <w:rPr>
          <w:rFonts w:eastAsia="Times New Roman" w:cs="Times New Roman"/>
          <w:bCs/>
          <w:color w:val="000000"/>
          <w:lang w:eastAsia="da-DK"/>
        </w:rPr>
        <w:t xml:space="preserve"> </w:t>
      </w:r>
      <w:r w:rsidRPr="00577043">
        <w:rPr>
          <w:rFonts w:eastAsia="Times New Roman" w:cs="Times New Roman"/>
          <w:bCs/>
          <w:color w:val="000000"/>
          <w:lang w:eastAsia="da-DK"/>
        </w:rPr>
        <w:t>23, stk. 1.</w:t>
      </w:r>
      <w:r>
        <w:rPr>
          <w:rFonts w:eastAsia="Times New Roman" w:cs="Times New Roman"/>
          <w:bCs/>
          <w:color w:val="000000"/>
          <w:lang w:eastAsia="da-DK"/>
        </w:rPr>
        <w:t xml:space="preserve"> </w:t>
      </w:r>
    </w:p>
    <w:p w14:paraId="0AEEF62B" w14:textId="77777777" w:rsidR="007333B2" w:rsidRPr="00577043" w:rsidRDefault="007333B2" w:rsidP="00E476F6">
      <w:pPr>
        <w:rPr>
          <w:rFonts w:eastAsia="Times New Roman" w:cs="Times New Roman"/>
          <w:color w:val="000000"/>
          <w:lang w:eastAsia="da-DK"/>
        </w:rPr>
      </w:pPr>
    </w:p>
    <w:p w14:paraId="0C667D2E" w14:textId="77777777" w:rsidR="00E476F6" w:rsidRPr="00C901F4" w:rsidRDefault="00E476F6" w:rsidP="00E476F6">
      <w:pPr>
        <w:rPr>
          <w:rFonts w:eastAsia="Times New Roman" w:cs="Times New Roman"/>
          <w:color w:val="000000"/>
          <w:lang w:eastAsia="da-DK"/>
        </w:rPr>
      </w:pPr>
      <w:r w:rsidRPr="00577043">
        <w:rPr>
          <w:rFonts w:eastAsia="Times New Roman" w:cs="Times New Roman"/>
          <w:color w:val="000000"/>
          <w:lang w:eastAsia="da-DK"/>
        </w:rPr>
        <w:t xml:space="preserve">Når en ændring alene vedrører et aspekt af del II af vurderingsrapporten, er det ifølge den foreslåede </w:t>
      </w:r>
      <w:r w:rsidRPr="009B13C4">
        <w:rPr>
          <w:rFonts w:eastAsia="Times New Roman" w:cs="Times New Roman"/>
          <w:i/>
          <w:color w:val="000000"/>
          <w:lang w:eastAsia="da-DK"/>
        </w:rPr>
        <w:t xml:space="preserve">§ </w:t>
      </w:r>
      <w:r w:rsidR="007333B2">
        <w:rPr>
          <w:rFonts w:eastAsia="Times New Roman" w:cs="Times New Roman"/>
          <w:i/>
          <w:color w:val="000000"/>
          <w:lang w:eastAsia="da-DK"/>
        </w:rPr>
        <w:t>11</w:t>
      </w:r>
      <w:r w:rsidRPr="009B13C4">
        <w:rPr>
          <w:rFonts w:eastAsia="Times New Roman" w:cs="Times New Roman"/>
          <w:i/>
          <w:color w:val="000000"/>
          <w:lang w:eastAsia="da-DK"/>
        </w:rPr>
        <w:t xml:space="preserve">, stk. </w:t>
      </w:r>
      <w:r>
        <w:rPr>
          <w:rFonts w:eastAsia="Times New Roman" w:cs="Times New Roman"/>
          <w:i/>
          <w:color w:val="000000"/>
          <w:lang w:eastAsia="da-DK"/>
        </w:rPr>
        <w:t>2</w:t>
      </w:r>
      <w:r w:rsidRPr="00577043">
        <w:rPr>
          <w:rFonts w:eastAsia="Times New Roman" w:cs="Times New Roman"/>
          <w:color w:val="000000"/>
          <w:lang w:eastAsia="da-DK"/>
        </w:rPr>
        <w:t xml:space="preserve">, den videnskabsetiske lægemiddelkomité, som afgør, om en væsentlig ændring af et forsøg kan godkendes, om det godkendes på visse betingelser, eller om der gives afslag på godkendelse, og meddeler afgørelsen i overensstemmelse med artikel 20, stk. 5, i </w:t>
      </w:r>
      <w:r>
        <w:rPr>
          <w:rFonts w:eastAsia="Times New Roman" w:cs="Times New Roman"/>
          <w:color w:val="000000"/>
          <w:lang w:eastAsia="da-DK"/>
        </w:rPr>
        <w:t>forordningen</w:t>
      </w:r>
      <w:r w:rsidRPr="00577043">
        <w:rPr>
          <w:rFonts w:eastAsia="Times New Roman" w:cs="Times New Roman"/>
          <w:color w:val="000000"/>
          <w:lang w:eastAsia="da-DK"/>
        </w:rPr>
        <w:t xml:space="preserve">. </w:t>
      </w:r>
    </w:p>
    <w:p w14:paraId="52DD11F8" w14:textId="77777777" w:rsidR="00E476F6" w:rsidRDefault="00E476F6" w:rsidP="00E476F6">
      <w:pPr>
        <w:rPr>
          <w:rFonts w:eastAsia="Times New Roman" w:cs="Times New Roman"/>
          <w:color w:val="000000"/>
          <w:lang w:eastAsia="da-DK"/>
        </w:rPr>
      </w:pPr>
    </w:p>
    <w:p w14:paraId="06074325" w14:textId="77777777" w:rsidR="00E476F6" w:rsidRDefault="00E476F6" w:rsidP="00E476F6">
      <w:pPr>
        <w:rPr>
          <w:rFonts w:eastAsia="Times New Roman" w:cs="Times New Roman"/>
          <w:color w:val="000000"/>
          <w:lang w:eastAsia="da-DK"/>
        </w:rPr>
      </w:pPr>
      <w:r>
        <w:rPr>
          <w:rFonts w:eastAsia="Times New Roman" w:cs="Times New Roman"/>
          <w:color w:val="000000"/>
          <w:lang w:eastAsia="da-DK"/>
        </w:rPr>
        <w:lastRenderedPageBreak/>
        <w:t xml:space="preserve">Det foreslås med </w:t>
      </w:r>
      <w:r w:rsidRPr="009B13C4">
        <w:rPr>
          <w:rFonts w:eastAsia="Times New Roman" w:cs="Times New Roman"/>
          <w:i/>
          <w:color w:val="000000"/>
          <w:lang w:eastAsia="da-DK"/>
        </w:rPr>
        <w:t xml:space="preserve">§ </w:t>
      </w:r>
      <w:r w:rsidR="007333B2">
        <w:rPr>
          <w:rFonts w:eastAsia="Times New Roman" w:cs="Times New Roman"/>
          <w:i/>
          <w:color w:val="000000"/>
          <w:lang w:eastAsia="da-DK"/>
        </w:rPr>
        <w:t>11</w:t>
      </w:r>
      <w:r w:rsidRPr="009B13C4">
        <w:rPr>
          <w:rFonts w:eastAsia="Times New Roman" w:cs="Times New Roman"/>
          <w:i/>
          <w:color w:val="000000"/>
          <w:lang w:eastAsia="da-DK"/>
        </w:rPr>
        <w:t xml:space="preserve">, stk. </w:t>
      </w:r>
      <w:r>
        <w:rPr>
          <w:rFonts w:eastAsia="Times New Roman" w:cs="Times New Roman"/>
          <w:i/>
          <w:color w:val="000000"/>
          <w:lang w:eastAsia="da-DK"/>
        </w:rPr>
        <w:t>3</w:t>
      </w:r>
      <w:r>
        <w:rPr>
          <w:rFonts w:eastAsia="Times New Roman" w:cs="Times New Roman"/>
          <w:color w:val="000000"/>
          <w:lang w:eastAsia="da-DK"/>
        </w:rPr>
        <w:t>, at Lægemiddelstyrelsen</w:t>
      </w:r>
      <w:r w:rsidRPr="00577043">
        <w:rPr>
          <w:rFonts w:eastAsia="Times New Roman" w:cs="Times New Roman"/>
          <w:color w:val="000000"/>
          <w:lang w:eastAsia="da-DK"/>
        </w:rPr>
        <w:t xml:space="preserve"> ikke </w:t>
      </w:r>
      <w:r>
        <w:rPr>
          <w:rFonts w:eastAsia="Times New Roman" w:cs="Times New Roman"/>
          <w:color w:val="000000"/>
          <w:lang w:eastAsia="da-DK"/>
        </w:rPr>
        <w:t xml:space="preserve">kan </w:t>
      </w:r>
      <w:r w:rsidRPr="00577043">
        <w:rPr>
          <w:rFonts w:eastAsia="Times New Roman" w:cs="Times New Roman"/>
          <w:color w:val="000000"/>
          <w:lang w:eastAsia="da-DK"/>
        </w:rPr>
        <w:t>godkende en væsentlig ændring</w:t>
      </w:r>
      <w:r>
        <w:rPr>
          <w:rFonts w:eastAsia="Times New Roman" w:cs="Times New Roman"/>
          <w:color w:val="000000"/>
          <w:lang w:eastAsia="da-DK"/>
        </w:rPr>
        <w:t xml:space="preserve"> af et aspekt, der er omfattet af del I af vurderingsrapporten</w:t>
      </w:r>
      <w:r w:rsidRPr="00577043">
        <w:rPr>
          <w:rFonts w:eastAsia="Times New Roman" w:cs="Times New Roman"/>
          <w:color w:val="000000"/>
          <w:lang w:eastAsia="da-DK"/>
        </w:rPr>
        <w:t>, eller godkende en væsentlig ændring p</w:t>
      </w:r>
      <w:r>
        <w:rPr>
          <w:rFonts w:eastAsia="Times New Roman" w:cs="Times New Roman"/>
          <w:color w:val="000000"/>
          <w:lang w:eastAsia="da-DK"/>
        </w:rPr>
        <w:t>å visse betingelser,</w:t>
      </w:r>
      <w:r w:rsidRPr="00577043">
        <w:rPr>
          <w:rFonts w:eastAsia="Times New Roman" w:cs="Times New Roman"/>
          <w:color w:val="000000"/>
          <w:lang w:eastAsia="da-DK"/>
        </w:rPr>
        <w:t xml:space="preserve"> hvis den videnskabsetiske lægemiddelkomité er uenig i den rapporterende medlemsstats konklusioner for så vidt angår del I af vurderingsrapporten af nogen af de i </w:t>
      </w:r>
      <w:r>
        <w:rPr>
          <w:rFonts w:eastAsia="Times New Roman" w:cs="Times New Roman"/>
          <w:color w:val="000000"/>
          <w:lang w:eastAsia="da-DK"/>
        </w:rPr>
        <w:t xml:space="preserve">forordningens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sidRPr="00577043">
        <w:rPr>
          <w:rFonts w:eastAsia="Times New Roman" w:cs="Times New Roman"/>
          <w:color w:val="000000"/>
          <w:lang w:eastAsia="da-DK"/>
        </w:rPr>
        <w:t xml:space="preserve"> </w:t>
      </w:r>
      <w:r>
        <w:rPr>
          <w:rFonts w:eastAsia="Times New Roman" w:cs="Times New Roman"/>
          <w:color w:val="000000"/>
          <w:lang w:eastAsia="da-DK"/>
        </w:rPr>
        <w:t>19</w:t>
      </w:r>
      <w:r w:rsidRPr="00577043">
        <w:rPr>
          <w:rFonts w:eastAsia="Times New Roman" w:cs="Times New Roman"/>
          <w:color w:val="000000"/>
          <w:lang w:eastAsia="da-DK"/>
        </w:rPr>
        <w:t>, stk. 2, anførte grunde</w:t>
      </w:r>
      <w:r>
        <w:rPr>
          <w:rFonts w:eastAsia="Times New Roman" w:cs="Times New Roman"/>
          <w:color w:val="000000"/>
          <w:lang w:eastAsia="da-DK"/>
        </w:rPr>
        <w:t xml:space="preserve">. Endvidere foreslås det, at Lægemiddelstyrelsen ikke kan godkende væsentlige ændringer af aspekter, der er omfattet af del I og del II af vurderingsrapporten, eller godkende væsentlige ændringer på visse betingelser, hvis den videnskabsetiske lægemiddelkomité er uenig i den rapporterende medlemsstats konklusioner for så vidt angår del I af vurderingsrapporten af nogen af de i forordningens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Pr>
          <w:rFonts w:eastAsia="Times New Roman" w:cs="Times New Roman"/>
          <w:color w:val="000000"/>
          <w:lang w:eastAsia="da-DK"/>
        </w:rPr>
        <w:t xml:space="preserve"> </w:t>
      </w:r>
      <w:r>
        <w:rPr>
          <w:rFonts w:eastAsia="Times New Roman" w:cs="Times New Roman"/>
          <w:color w:val="000000"/>
          <w:lang w:eastAsia="da-DK"/>
        </w:rPr>
        <w:t xml:space="preserve">23, stk. 2, anførte grunde, eller komiteen finder, at væsentlige aspekter, som er omfattet af del II af vurderingsrapporten, ikke er overholdt. </w:t>
      </w:r>
      <w:r w:rsidRPr="00577043">
        <w:rPr>
          <w:rFonts w:eastAsia="Times New Roman" w:cs="Times New Roman"/>
          <w:color w:val="000000"/>
          <w:lang w:eastAsia="da-DK"/>
        </w:rPr>
        <w:t xml:space="preserve">Hvis den videnskabsetiske komité ikke meddeler </w:t>
      </w:r>
      <w:r>
        <w:rPr>
          <w:rFonts w:eastAsia="Times New Roman" w:cs="Times New Roman"/>
          <w:color w:val="000000"/>
          <w:lang w:eastAsia="da-DK"/>
        </w:rPr>
        <w:t>Lægemiddelstyrelsen</w:t>
      </w:r>
      <w:r w:rsidRPr="00577043">
        <w:rPr>
          <w:rFonts w:eastAsia="Times New Roman" w:cs="Times New Roman"/>
          <w:color w:val="000000"/>
          <w:lang w:eastAsia="da-DK"/>
        </w:rPr>
        <w:t>, at den er uenig inden for en frist fastsat i medfør af stk. 14, anses komiteen for at være enig i afgørelsen.</w:t>
      </w:r>
    </w:p>
    <w:p w14:paraId="5FA79311" w14:textId="77777777" w:rsidR="00E476F6" w:rsidRDefault="00E476F6" w:rsidP="00E476F6">
      <w:pPr>
        <w:rPr>
          <w:rFonts w:eastAsia="Times New Roman" w:cs="Times New Roman"/>
          <w:color w:val="000000"/>
          <w:lang w:eastAsia="da-DK"/>
        </w:rPr>
      </w:pPr>
    </w:p>
    <w:p w14:paraId="3AC1EEF5" w14:textId="77777777" w:rsidR="00E476F6" w:rsidRPr="00577043" w:rsidRDefault="00E476F6" w:rsidP="00E476F6">
      <w:pPr>
        <w:rPr>
          <w:rFonts w:eastAsia="Times New Roman" w:cs="Times New Roman"/>
          <w:color w:val="000000"/>
          <w:lang w:eastAsia="da-DK"/>
        </w:rPr>
      </w:pPr>
      <w:r w:rsidRPr="00577043">
        <w:rPr>
          <w:rFonts w:eastAsia="Times New Roman" w:cs="Times New Roman"/>
          <w:color w:val="000000"/>
          <w:lang w:eastAsia="da-DK"/>
        </w:rPr>
        <w:t xml:space="preserve">Såfremt </w:t>
      </w:r>
      <w:r>
        <w:rPr>
          <w:rFonts w:eastAsia="Times New Roman" w:cs="Times New Roman"/>
          <w:color w:val="000000"/>
          <w:lang w:eastAsia="da-DK"/>
        </w:rPr>
        <w:t>Lægemiddelstyrelsen</w:t>
      </w:r>
      <w:r w:rsidRPr="00577043">
        <w:rPr>
          <w:rFonts w:eastAsia="Times New Roman" w:cs="Times New Roman"/>
          <w:color w:val="000000"/>
          <w:lang w:eastAsia="da-DK"/>
        </w:rPr>
        <w:t xml:space="preserve"> er uenig i den rapporterende medlemsstats konklusion for så vidt angår del I af vurderingsrapporten, er dette Danmarks afgørelse. </w:t>
      </w:r>
    </w:p>
    <w:p w14:paraId="3CF9098A" w14:textId="77777777" w:rsidR="00E476F6" w:rsidRPr="00577043" w:rsidRDefault="00E476F6" w:rsidP="00E476F6">
      <w:pPr>
        <w:rPr>
          <w:rFonts w:eastAsia="Times New Roman" w:cs="Times New Roman"/>
          <w:color w:val="000000"/>
          <w:lang w:eastAsia="da-DK"/>
        </w:rPr>
      </w:pPr>
    </w:p>
    <w:p w14:paraId="38EFD97C" w14:textId="77777777" w:rsidR="00E476F6" w:rsidRPr="00577043" w:rsidRDefault="000C5BC4" w:rsidP="000C5BC4">
      <w:pPr>
        <w:pStyle w:val="Overskrift2"/>
        <w:ind w:left="1304" w:hanging="1304"/>
        <w:jc w:val="left"/>
        <w:rPr>
          <w:rFonts w:eastAsia="Times New Roman"/>
          <w:lang w:eastAsia="da-DK"/>
        </w:rPr>
      </w:pPr>
      <w:r>
        <w:rPr>
          <w:rFonts w:eastAsia="Times New Roman"/>
          <w:lang w:eastAsia="da-DK"/>
        </w:rPr>
        <w:t>Til § 12 [Tilbagekaldelse og suspension]</w:t>
      </w:r>
    </w:p>
    <w:p w14:paraId="64774888" w14:textId="77777777" w:rsidR="00E476F6" w:rsidRPr="00577043" w:rsidRDefault="00E476F6" w:rsidP="00E476F6">
      <w:pPr>
        <w:rPr>
          <w:rFonts w:eastAsia="Times New Roman" w:cs="Times New Roman"/>
          <w:color w:val="000000"/>
          <w:lang w:eastAsia="da-DK"/>
        </w:rPr>
      </w:pPr>
      <w:r w:rsidRPr="00577043">
        <w:rPr>
          <w:rFonts w:eastAsia="Times New Roman" w:cs="Times New Roman"/>
          <w:color w:val="000000"/>
          <w:lang w:eastAsia="da-DK"/>
        </w:rPr>
        <w:t xml:space="preserve">Det foreslås med </w:t>
      </w:r>
      <w:r w:rsidRPr="009B13C4">
        <w:rPr>
          <w:rFonts w:eastAsia="Times New Roman" w:cs="Times New Roman"/>
          <w:i/>
          <w:color w:val="000000"/>
          <w:lang w:eastAsia="da-DK"/>
        </w:rPr>
        <w:t xml:space="preserve">§ </w:t>
      </w:r>
      <w:r w:rsidR="000C5BC4">
        <w:rPr>
          <w:rFonts w:eastAsia="Times New Roman" w:cs="Times New Roman"/>
          <w:i/>
          <w:color w:val="000000"/>
          <w:lang w:eastAsia="da-DK"/>
        </w:rPr>
        <w:t>12</w:t>
      </w:r>
      <w:r w:rsidRPr="009B13C4">
        <w:rPr>
          <w:rFonts w:eastAsia="Times New Roman" w:cs="Times New Roman"/>
          <w:i/>
          <w:color w:val="000000"/>
          <w:lang w:eastAsia="da-DK"/>
        </w:rPr>
        <w:t>,</w:t>
      </w:r>
      <w:r w:rsidRPr="00577043">
        <w:rPr>
          <w:rFonts w:eastAsia="Times New Roman" w:cs="Times New Roman"/>
          <w:color w:val="000000"/>
          <w:lang w:eastAsia="da-DK"/>
        </w:rPr>
        <w:t xml:space="preserve"> at </w:t>
      </w:r>
      <w:r>
        <w:rPr>
          <w:rFonts w:eastAsia="Times New Roman" w:cs="Times New Roman"/>
          <w:color w:val="000000"/>
          <w:lang w:eastAsia="da-DK"/>
        </w:rPr>
        <w:t>Lægemiddelstyrelsen</w:t>
      </w:r>
      <w:r w:rsidRPr="00577043">
        <w:rPr>
          <w:rFonts w:eastAsia="Times New Roman" w:cs="Times New Roman"/>
          <w:color w:val="000000"/>
          <w:lang w:eastAsia="da-DK"/>
        </w:rPr>
        <w:t xml:space="preserve"> afgør, om godkendelsen af et klinisk forsøg skal tilbagekaldes, om det kliniske forsøg skal suspenderes, og </w:t>
      </w:r>
      <w:r>
        <w:rPr>
          <w:rFonts w:eastAsia="Times New Roman" w:cs="Times New Roman"/>
          <w:color w:val="000000"/>
          <w:lang w:eastAsia="da-DK"/>
        </w:rPr>
        <w:t>Lægemiddelstyrelsen</w:t>
      </w:r>
      <w:r w:rsidRPr="00577043">
        <w:rPr>
          <w:rFonts w:eastAsia="Times New Roman" w:cs="Times New Roman"/>
          <w:color w:val="000000"/>
          <w:lang w:eastAsia="da-DK"/>
        </w:rPr>
        <w:t xml:space="preserve"> kan stille krav om, at sponsor ændrer et hvilket som helst aspekt af det kliniske forsøg, jf. artikel 77, stk. 1, i </w:t>
      </w:r>
      <w:r>
        <w:rPr>
          <w:rFonts w:eastAsia="Times New Roman" w:cs="Times New Roman"/>
          <w:color w:val="000000"/>
          <w:lang w:eastAsia="da-DK"/>
        </w:rPr>
        <w:t>forordningen</w:t>
      </w:r>
      <w:r w:rsidRPr="00577043">
        <w:rPr>
          <w:rFonts w:eastAsia="Times New Roman" w:cs="Times New Roman"/>
          <w:color w:val="000000"/>
          <w:lang w:eastAsia="da-DK"/>
        </w:rPr>
        <w:t xml:space="preserve">. </w:t>
      </w:r>
      <w:r>
        <w:rPr>
          <w:rFonts w:eastAsia="Times New Roman" w:cs="Times New Roman"/>
          <w:color w:val="000000"/>
          <w:lang w:eastAsia="da-DK"/>
        </w:rPr>
        <w:t>Det foreslås</w:t>
      </w:r>
      <w:r w:rsidRPr="00577043">
        <w:rPr>
          <w:rFonts w:eastAsia="Times New Roman" w:cs="Times New Roman"/>
          <w:color w:val="000000"/>
          <w:lang w:eastAsia="da-DK"/>
        </w:rPr>
        <w:t xml:space="preserve"> </w:t>
      </w:r>
      <w:r>
        <w:rPr>
          <w:rFonts w:eastAsia="Times New Roman" w:cs="Times New Roman"/>
          <w:color w:val="000000"/>
          <w:lang w:eastAsia="da-DK"/>
        </w:rPr>
        <w:t>Lægemiddelstyrelsen</w:t>
      </w:r>
      <w:r w:rsidRPr="00577043">
        <w:rPr>
          <w:rFonts w:eastAsia="Times New Roman" w:cs="Times New Roman"/>
          <w:color w:val="000000"/>
          <w:lang w:eastAsia="da-DK"/>
        </w:rPr>
        <w:t xml:space="preserve"> </w:t>
      </w:r>
      <w:r>
        <w:rPr>
          <w:rFonts w:eastAsia="Times New Roman" w:cs="Times New Roman"/>
          <w:color w:val="000000"/>
          <w:lang w:eastAsia="da-DK"/>
        </w:rPr>
        <w:t xml:space="preserve">skal </w:t>
      </w:r>
      <w:r w:rsidRPr="00577043">
        <w:rPr>
          <w:rFonts w:eastAsia="Times New Roman" w:cs="Times New Roman"/>
          <w:color w:val="000000"/>
          <w:lang w:eastAsia="da-DK"/>
        </w:rPr>
        <w:t xml:space="preserve">inddrage den videnskabsetiske </w:t>
      </w:r>
      <w:r>
        <w:rPr>
          <w:rFonts w:eastAsia="Times New Roman" w:cs="Times New Roman"/>
          <w:color w:val="000000"/>
          <w:lang w:eastAsia="da-DK"/>
        </w:rPr>
        <w:t>lægemiddel</w:t>
      </w:r>
      <w:r w:rsidRPr="00577043">
        <w:rPr>
          <w:rFonts w:eastAsia="Times New Roman" w:cs="Times New Roman"/>
          <w:color w:val="000000"/>
          <w:lang w:eastAsia="da-DK"/>
        </w:rPr>
        <w:t>komité i vurderingen af grundlaget for en afgørelse.</w:t>
      </w:r>
    </w:p>
    <w:p w14:paraId="4F26651E" w14:textId="77777777" w:rsidR="00E476F6" w:rsidRDefault="00E476F6" w:rsidP="00E476F6"/>
    <w:p w14:paraId="0F021654" w14:textId="77777777" w:rsidR="00E476F6" w:rsidRDefault="00E476F6" w:rsidP="00E476F6">
      <w:r>
        <w:t>Korrigerende foranstaltninger efter artikel 77 i et godkendt projekt skal således gennemføres af Lægemiddelstyrelsen, men i samarbejde med den videnskabsetiske lægemiddelkomité, der har deltaget i godkendelse af projektet.</w:t>
      </w:r>
    </w:p>
    <w:p w14:paraId="5E1F539B" w14:textId="77777777" w:rsidR="00E476F6" w:rsidRDefault="00E476F6" w:rsidP="00E476F6"/>
    <w:p w14:paraId="72D738E6" w14:textId="77777777" w:rsidR="00E476F6" w:rsidRDefault="00E476F6" w:rsidP="00E476F6">
      <w:r>
        <w:t>Hvis der er tale om hastende situationer, hvor Lægemiddelstyrelsen har behov for at agere hurtig, skal komiteerne reagere inden for nogle fastsatte tidsfrister, såfremt komiteerne har bidrag til sagsbehandlingen, fx om der er forhold, der giver ubalance i gevinst- og risikoforholdet, om der findes grundlag for særlige foranstaltning, herunder i forhold til sikkerheden for deltagerne og informationen til disse. Hvis komitéen i disse tilfælde ikke reagerer, betragtes det af Lægemiddelstyrelsen som stiltiende accept.</w:t>
      </w:r>
    </w:p>
    <w:p w14:paraId="45AEB65B" w14:textId="77777777" w:rsidR="00E476F6" w:rsidRDefault="00E476F6" w:rsidP="00E476F6"/>
    <w:p w14:paraId="5A96A2FD" w14:textId="77777777" w:rsidR="00E476F6" w:rsidRDefault="00E476F6" w:rsidP="00E476F6">
      <w:r>
        <w:t xml:space="preserve">Det foreslås, desuden at en lægemiddeletisk komité kan anmode Lægemiddelstyrelsen om at iværksætte korrigerende foranstaltninger efter artikel 77, hvis komiteen finder, at der kan være grundlag herfor. </w:t>
      </w:r>
    </w:p>
    <w:p w14:paraId="5FF7AD42" w14:textId="77777777" w:rsidR="00E476F6" w:rsidRDefault="00E476F6" w:rsidP="00E476F6">
      <w:pPr>
        <w:rPr>
          <w:rFonts w:eastAsia="Times New Roman" w:cs="Times New Roman"/>
          <w:color w:val="000000"/>
          <w:lang w:eastAsia="da-DK"/>
        </w:rPr>
      </w:pPr>
    </w:p>
    <w:p w14:paraId="3BBEA5A7" w14:textId="77777777" w:rsidR="000C5BC4" w:rsidRPr="000C5BC4" w:rsidRDefault="000C5BC4" w:rsidP="000C5BC4">
      <w:pPr>
        <w:pStyle w:val="Overskrift2"/>
        <w:jc w:val="left"/>
        <w:rPr>
          <w:rFonts w:eastAsia="Times New Roman"/>
          <w:lang w:eastAsia="da-DK"/>
        </w:rPr>
      </w:pPr>
      <w:r>
        <w:rPr>
          <w:rFonts w:eastAsia="Times New Roman"/>
          <w:lang w:eastAsia="da-DK"/>
        </w:rPr>
        <w:t>Til § 13 [Fastsættelse af nærmere regler]</w:t>
      </w:r>
    </w:p>
    <w:p w14:paraId="1BE5C7FE" w14:textId="77777777" w:rsidR="00E476F6" w:rsidRPr="00577043" w:rsidRDefault="00E476F6" w:rsidP="00E476F6">
      <w:pPr>
        <w:rPr>
          <w:rFonts w:eastAsia="Times New Roman" w:cs="Times New Roman"/>
          <w:i/>
          <w:color w:val="000000"/>
          <w:lang w:eastAsia="da-DK"/>
        </w:rPr>
      </w:pPr>
      <w:r w:rsidRPr="00577043">
        <w:rPr>
          <w:rFonts w:eastAsia="Times New Roman" w:cs="Times New Roman"/>
          <w:color w:val="000000"/>
          <w:lang w:eastAsia="da-DK"/>
        </w:rPr>
        <w:t xml:space="preserve">Det foreslås med </w:t>
      </w:r>
      <w:r w:rsidRPr="009B13C4">
        <w:rPr>
          <w:rFonts w:eastAsia="Times New Roman" w:cs="Times New Roman"/>
          <w:i/>
          <w:color w:val="000000"/>
          <w:lang w:eastAsia="da-DK"/>
        </w:rPr>
        <w:t xml:space="preserve">§ </w:t>
      </w:r>
      <w:r w:rsidR="000C5BC4">
        <w:rPr>
          <w:rFonts w:eastAsia="Times New Roman" w:cs="Times New Roman"/>
          <w:i/>
          <w:color w:val="000000"/>
          <w:lang w:eastAsia="da-DK"/>
        </w:rPr>
        <w:t>13, stk. 1</w:t>
      </w:r>
      <w:r>
        <w:rPr>
          <w:rFonts w:eastAsia="Times New Roman" w:cs="Times New Roman"/>
          <w:i/>
          <w:color w:val="000000"/>
          <w:lang w:eastAsia="da-DK"/>
        </w:rPr>
        <w:t>,</w:t>
      </w:r>
      <w:r w:rsidRPr="00577043">
        <w:rPr>
          <w:rFonts w:eastAsia="Times New Roman" w:cs="Times New Roman"/>
          <w:color w:val="000000"/>
          <w:lang w:eastAsia="da-DK"/>
        </w:rPr>
        <w:t xml:space="preserve"> at sundheds- og ældreministeren fastsætter, hvilke aspekter af vurderingsrapportens del I, som den videnskabsetiske lægemiddelkomité, skal vurdere. Dette vil særligt omfatte en vurdering af, om forsøget er i overensstemmelse med kapitel V om beskyttelse af forsøgspersoner med hensyn til den forventede gevinst i terapeutisk henseende og for folkesundheden, jf.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sidRPr="00577043">
        <w:rPr>
          <w:rFonts w:eastAsia="Times New Roman" w:cs="Times New Roman"/>
          <w:color w:val="000000"/>
          <w:lang w:eastAsia="da-DK"/>
        </w:rPr>
        <w:t xml:space="preserve"> </w:t>
      </w:r>
      <w:r w:rsidRPr="00577043">
        <w:rPr>
          <w:rFonts w:eastAsia="Times New Roman" w:cs="Times New Roman"/>
          <w:color w:val="000000"/>
          <w:lang w:eastAsia="da-DK"/>
        </w:rPr>
        <w:t xml:space="preserve">6, stk. 1, litra b, i) samt vurdering af risici og ulemper for forsøgspersonen, jf.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sidRPr="00577043">
        <w:rPr>
          <w:rFonts w:eastAsia="Times New Roman" w:cs="Times New Roman"/>
          <w:color w:val="000000"/>
          <w:lang w:eastAsia="da-DK"/>
        </w:rPr>
        <w:t xml:space="preserve"> </w:t>
      </w:r>
      <w:r w:rsidRPr="00577043">
        <w:rPr>
          <w:rFonts w:eastAsia="Times New Roman" w:cs="Times New Roman"/>
          <w:color w:val="000000"/>
          <w:lang w:eastAsia="da-DK"/>
        </w:rPr>
        <w:t>6, stk.1, litra b, ii).</w:t>
      </w:r>
    </w:p>
    <w:p w14:paraId="59362A52" w14:textId="77777777" w:rsidR="00E476F6" w:rsidRPr="00577043" w:rsidRDefault="00E476F6" w:rsidP="00E476F6">
      <w:pPr>
        <w:rPr>
          <w:rFonts w:eastAsia="Times New Roman" w:cs="Times New Roman"/>
          <w:iCs/>
          <w:color w:val="000000"/>
          <w:lang w:eastAsia="da-DK"/>
        </w:rPr>
      </w:pPr>
    </w:p>
    <w:p w14:paraId="0E027DD5" w14:textId="77777777" w:rsidR="00E476F6" w:rsidRPr="00577043" w:rsidRDefault="00E476F6" w:rsidP="00E476F6">
      <w:pPr>
        <w:rPr>
          <w:rFonts w:eastAsia="Times New Roman" w:cs="Times New Roman"/>
          <w:color w:val="000000"/>
          <w:lang w:eastAsia="da-DK"/>
        </w:rPr>
      </w:pPr>
      <w:r w:rsidRPr="00577043">
        <w:rPr>
          <w:rFonts w:eastAsia="Times New Roman" w:cs="Times New Roman"/>
          <w:iCs/>
          <w:color w:val="000000"/>
          <w:lang w:eastAsia="da-DK"/>
        </w:rPr>
        <w:t xml:space="preserve">Med den foreslåede </w:t>
      </w:r>
      <w:r w:rsidRPr="009B13C4">
        <w:rPr>
          <w:rFonts w:eastAsia="Times New Roman" w:cs="Times New Roman"/>
          <w:i/>
          <w:iCs/>
          <w:color w:val="000000"/>
          <w:lang w:eastAsia="da-DK"/>
        </w:rPr>
        <w:t xml:space="preserve">§ </w:t>
      </w:r>
      <w:r w:rsidR="000C5BC4">
        <w:rPr>
          <w:rFonts w:eastAsia="Times New Roman" w:cs="Times New Roman"/>
          <w:i/>
          <w:iCs/>
          <w:color w:val="000000"/>
          <w:lang w:eastAsia="da-DK"/>
        </w:rPr>
        <w:t>13</w:t>
      </w:r>
      <w:r w:rsidRPr="009B13C4">
        <w:rPr>
          <w:rFonts w:eastAsia="Times New Roman" w:cs="Times New Roman"/>
          <w:i/>
          <w:iCs/>
          <w:color w:val="000000"/>
          <w:lang w:eastAsia="da-DK"/>
        </w:rPr>
        <w:t xml:space="preserve">, stk. </w:t>
      </w:r>
      <w:r>
        <w:rPr>
          <w:rFonts w:eastAsia="Times New Roman" w:cs="Times New Roman"/>
          <w:i/>
          <w:iCs/>
          <w:color w:val="000000"/>
          <w:lang w:eastAsia="da-DK"/>
        </w:rPr>
        <w:t>2</w:t>
      </w:r>
      <w:r w:rsidRPr="00577043">
        <w:rPr>
          <w:rFonts w:eastAsia="Times New Roman" w:cs="Times New Roman"/>
          <w:iCs/>
          <w:color w:val="000000"/>
          <w:lang w:eastAsia="da-DK"/>
        </w:rPr>
        <w:t xml:space="preserve">, bemyndiges sundheds- og ældreministeren til at fastsætte nærmere regler om </w:t>
      </w:r>
      <w:r>
        <w:rPr>
          <w:rFonts w:eastAsia="Times New Roman" w:cs="Times New Roman"/>
          <w:iCs/>
          <w:color w:val="000000"/>
          <w:lang w:eastAsia="da-DK"/>
        </w:rPr>
        <w:t>Lægemiddelstyrelsen</w:t>
      </w:r>
      <w:r w:rsidRPr="00577043">
        <w:rPr>
          <w:rFonts w:eastAsia="Times New Roman" w:cs="Times New Roman"/>
          <w:iCs/>
          <w:color w:val="000000"/>
          <w:lang w:eastAsia="da-DK"/>
        </w:rPr>
        <w:t xml:space="preserve">s og den videnskabsetiske lægemiddelkomités administration af ansøgninger om kliniske forsøg samt opfølgningen på godkendte forsøg. Bemyndigelsen vil bl.a. blive benyttet til at fastsætte nærmere bestemmelser i en bekendtgørelse om </w:t>
      </w:r>
      <w:r>
        <w:rPr>
          <w:rFonts w:eastAsia="Times New Roman" w:cs="Times New Roman"/>
          <w:iCs/>
          <w:color w:val="000000"/>
          <w:lang w:eastAsia="da-DK"/>
        </w:rPr>
        <w:t>Lægemiddelstyrelsen</w:t>
      </w:r>
      <w:r w:rsidRPr="00577043">
        <w:rPr>
          <w:rFonts w:eastAsia="Times New Roman" w:cs="Times New Roman"/>
          <w:iCs/>
          <w:color w:val="000000"/>
          <w:lang w:eastAsia="da-DK"/>
        </w:rPr>
        <w:t xml:space="preserve"> og de videnskabsetiske lægemiddelkomiteers behandling af ans</w:t>
      </w:r>
      <w:r>
        <w:rPr>
          <w:rFonts w:eastAsia="Times New Roman" w:cs="Times New Roman"/>
          <w:iCs/>
          <w:color w:val="000000"/>
          <w:lang w:eastAsia="da-DK"/>
        </w:rPr>
        <w:t>øgninger om kliniske forsøg. Der</w:t>
      </w:r>
      <w:r w:rsidRPr="00577043">
        <w:rPr>
          <w:rFonts w:eastAsia="Times New Roman" w:cs="Times New Roman"/>
          <w:iCs/>
          <w:color w:val="000000"/>
          <w:lang w:eastAsia="da-DK"/>
        </w:rPr>
        <w:t xml:space="preserve"> vil i den forbindelse blive fastsat bestemmelser </w:t>
      </w:r>
      <w:r w:rsidR="00574B02">
        <w:rPr>
          <w:rFonts w:eastAsia="Times New Roman" w:cs="Times New Roman"/>
          <w:iCs/>
          <w:color w:val="000000"/>
          <w:lang w:eastAsia="da-DK"/>
        </w:rPr>
        <w:t>om</w:t>
      </w:r>
      <w:r w:rsidRPr="00577043">
        <w:rPr>
          <w:rFonts w:eastAsia="Times New Roman" w:cs="Times New Roman"/>
          <w:iCs/>
          <w:color w:val="000000"/>
          <w:lang w:eastAsia="da-DK"/>
        </w:rPr>
        <w:t xml:space="preserve"> sagsgange og samarbejde mellem </w:t>
      </w:r>
      <w:r>
        <w:rPr>
          <w:rFonts w:eastAsia="Times New Roman" w:cs="Times New Roman"/>
          <w:iCs/>
          <w:color w:val="000000"/>
          <w:lang w:eastAsia="da-DK"/>
        </w:rPr>
        <w:t>Lægemiddelstyrelsen</w:t>
      </w:r>
      <w:r w:rsidRPr="00577043">
        <w:rPr>
          <w:rFonts w:eastAsia="Times New Roman" w:cs="Times New Roman"/>
          <w:iCs/>
          <w:color w:val="000000"/>
          <w:lang w:eastAsia="da-DK"/>
        </w:rPr>
        <w:t xml:space="preserve"> og de videnskabsetiske komiteer, herunder tidsfrister for hhv. </w:t>
      </w:r>
      <w:r>
        <w:rPr>
          <w:rFonts w:eastAsia="Times New Roman" w:cs="Times New Roman"/>
          <w:iCs/>
          <w:color w:val="000000"/>
          <w:lang w:eastAsia="da-DK"/>
        </w:rPr>
        <w:t>Lægemiddelstyrelsen</w:t>
      </w:r>
      <w:r w:rsidRPr="00577043">
        <w:rPr>
          <w:rFonts w:eastAsia="Times New Roman" w:cs="Times New Roman"/>
          <w:iCs/>
          <w:color w:val="000000"/>
          <w:lang w:eastAsia="da-DK"/>
        </w:rPr>
        <w:t xml:space="preserve">s og komiteens vurdering af ansøgninger, sagsgange i forbindelse med spørgsmål til sponsor, </w:t>
      </w:r>
      <w:r>
        <w:rPr>
          <w:rFonts w:eastAsia="Times New Roman" w:cs="Times New Roman"/>
          <w:iCs/>
          <w:color w:val="000000"/>
          <w:lang w:eastAsia="da-DK"/>
        </w:rPr>
        <w:t xml:space="preserve">inddragelse af </w:t>
      </w:r>
      <w:r w:rsidRPr="00577043">
        <w:rPr>
          <w:rFonts w:eastAsia="Times New Roman" w:cs="Times New Roman"/>
          <w:iCs/>
          <w:color w:val="000000"/>
          <w:lang w:eastAsia="da-DK"/>
        </w:rPr>
        <w:t>ekspert</w:t>
      </w:r>
      <w:r>
        <w:rPr>
          <w:rFonts w:eastAsia="Times New Roman" w:cs="Times New Roman"/>
          <w:iCs/>
          <w:color w:val="000000"/>
          <w:lang w:eastAsia="da-DK"/>
        </w:rPr>
        <w:t>er</w:t>
      </w:r>
      <w:r w:rsidRPr="00577043">
        <w:rPr>
          <w:rFonts w:eastAsia="Times New Roman" w:cs="Times New Roman"/>
          <w:iCs/>
          <w:color w:val="000000"/>
          <w:lang w:eastAsia="da-DK"/>
        </w:rPr>
        <w:t xml:space="preserve">, </w:t>
      </w:r>
      <w:r>
        <w:rPr>
          <w:rFonts w:eastAsia="Times New Roman" w:cs="Times New Roman"/>
          <w:iCs/>
          <w:color w:val="000000"/>
          <w:lang w:eastAsia="da-DK"/>
        </w:rPr>
        <w:t>udarbejdelse af en samlet afgørelse på baggrund af</w:t>
      </w:r>
      <w:r w:rsidRPr="00577043">
        <w:rPr>
          <w:rFonts w:eastAsia="Times New Roman" w:cs="Times New Roman"/>
          <w:iCs/>
          <w:color w:val="000000"/>
          <w:lang w:eastAsia="da-DK"/>
        </w:rPr>
        <w:t xml:space="preserve"> </w:t>
      </w:r>
      <w:r>
        <w:rPr>
          <w:rFonts w:eastAsia="Times New Roman" w:cs="Times New Roman"/>
          <w:iCs/>
          <w:color w:val="000000"/>
          <w:lang w:eastAsia="da-DK"/>
        </w:rPr>
        <w:t>Lægemiddelstyrelsen</w:t>
      </w:r>
      <w:r w:rsidRPr="00577043">
        <w:rPr>
          <w:rFonts w:eastAsia="Times New Roman" w:cs="Times New Roman"/>
          <w:iCs/>
          <w:color w:val="000000"/>
          <w:lang w:eastAsia="da-DK"/>
        </w:rPr>
        <w:t>s og komiteernes respektive vurderinger, meddelelse af afgørelse</w:t>
      </w:r>
      <w:r>
        <w:rPr>
          <w:rFonts w:eastAsia="Times New Roman" w:cs="Times New Roman"/>
          <w:iCs/>
          <w:color w:val="000000"/>
          <w:lang w:eastAsia="da-DK"/>
        </w:rPr>
        <w:t>r</w:t>
      </w:r>
      <w:r w:rsidRPr="00577043">
        <w:rPr>
          <w:rFonts w:eastAsia="Times New Roman" w:cs="Times New Roman"/>
          <w:iCs/>
          <w:color w:val="000000"/>
          <w:lang w:eastAsia="da-DK"/>
        </w:rPr>
        <w:t xml:space="preserve"> til sponsor m</w:t>
      </w:r>
      <w:r w:rsidR="00094421">
        <w:rPr>
          <w:rFonts w:eastAsia="Times New Roman" w:cs="Times New Roman"/>
          <w:iCs/>
          <w:color w:val="000000"/>
          <w:lang w:eastAsia="da-DK"/>
        </w:rPr>
        <w:t>.</w:t>
      </w:r>
      <w:r w:rsidRPr="00577043">
        <w:rPr>
          <w:rFonts w:eastAsia="Times New Roman" w:cs="Times New Roman"/>
          <w:iCs/>
          <w:color w:val="000000"/>
          <w:lang w:eastAsia="da-DK"/>
        </w:rPr>
        <w:t>v. Der skal i den forbindelse fastsættes særlige bestemmelser om sagsbehandlingen om sagsgange og samarbejde</w:t>
      </w:r>
      <w:r>
        <w:rPr>
          <w:rFonts w:eastAsia="Times New Roman" w:cs="Times New Roman"/>
          <w:iCs/>
          <w:color w:val="000000"/>
          <w:lang w:eastAsia="da-DK"/>
        </w:rPr>
        <w:t>. I disse bestemmelser</w:t>
      </w:r>
      <w:r w:rsidRPr="00577043">
        <w:rPr>
          <w:rFonts w:eastAsia="Times New Roman" w:cs="Times New Roman"/>
          <w:iCs/>
          <w:color w:val="000000"/>
          <w:lang w:eastAsia="da-DK"/>
        </w:rPr>
        <w:t xml:space="preserve"> vil der også blive fastsat tidsfrister for en komités videnskabsetiske </w:t>
      </w:r>
      <w:r w:rsidRPr="00577043">
        <w:rPr>
          <w:rFonts w:eastAsia="Times New Roman" w:cs="Times New Roman"/>
          <w:iCs/>
          <w:color w:val="000000"/>
          <w:lang w:eastAsia="da-DK"/>
        </w:rPr>
        <w:lastRenderedPageBreak/>
        <w:t>vurdering af bl.a. aspekterne i del I af vurderingsrapporten</w:t>
      </w:r>
      <w:r>
        <w:rPr>
          <w:rFonts w:eastAsia="Times New Roman" w:cs="Times New Roman"/>
          <w:iCs/>
          <w:color w:val="000000"/>
          <w:lang w:eastAsia="da-DK"/>
        </w:rPr>
        <w:t xml:space="preserve"> samt at en manglende videnskabsetisk vurdering af Lægemiddelstyrelsen skal anses som en stiltiende accept</w:t>
      </w:r>
      <w:r w:rsidRPr="00577043">
        <w:rPr>
          <w:rFonts w:eastAsia="Times New Roman" w:cs="Times New Roman"/>
          <w:iCs/>
          <w:color w:val="000000"/>
          <w:lang w:eastAsia="da-DK"/>
        </w:rPr>
        <w:t xml:space="preserve">. </w:t>
      </w:r>
    </w:p>
    <w:p w14:paraId="10A21964" w14:textId="77777777" w:rsidR="00E476F6" w:rsidRPr="00577043" w:rsidRDefault="00E476F6" w:rsidP="00E476F6">
      <w:pPr>
        <w:keepNext/>
        <w:rPr>
          <w:rFonts w:eastAsia="Times New Roman" w:cs="Times New Roman"/>
          <w:iCs/>
          <w:color w:val="000000"/>
          <w:lang w:eastAsia="da-DK"/>
        </w:rPr>
      </w:pPr>
    </w:p>
    <w:p w14:paraId="35B4CFF8" w14:textId="77777777" w:rsidR="00E476F6" w:rsidRDefault="00E476F6" w:rsidP="00E476F6">
      <w:pPr>
        <w:rPr>
          <w:rFonts w:eastAsia="Times New Roman" w:cs="Times New Roman"/>
          <w:iCs/>
          <w:color w:val="000000"/>
          <w:lang w:eastAsia="da-DK"/>
        </w:rPr>
      </w:pPr>
      <w:r w:rsidRPr="00577043">
        <w:rPr>
          <w:rFonts w:eastAsia="Times New Roman" w:cs="Times New Roman"/>
          <w:iCs/>
          <w:color w:val="000000"/>
          <w:lang w:eastAsia="da-DK"/>
        </w:rPr>
        <w:t>Der henvises i øvrigt til afsnit 2.1.2 til 2.1.3. i de almindelige bemærkninger.</w:t>
      </w:r>
    </w:p>
    <w:p w14:paraId="749B313C" w14:textId="77777777" w:rsidR="00E476F6" w:rsidRPr="00577043" w:rsidRDefault="00E476F6" w:rsidP="00E476F6">
      <w:pPr>
        <w:rPr>
          <w:rFonts w:cs="Times New Roman"/>
          <w:lang w:eastAsia="da-DK"/>
        </w:rPr>
      </w:pPr>
    </w:p>
    <w:p w14:paraId="00BCCA54" w14:textId="77777777" w:rsidR="00FC009A" w:rsidRPr="00577043" w:rsidRDefault="00FC009A" w:rsidP="00B13440">
      <w:pPr>
        <w:pStyle w:val="Overskrift2"/>
        <w:jc w:val="left"/>
        <w:rPr>
          <w:rFonts w:eastAsia="Times New Roman" w:cs="Times New Roman"/>
          <w:lang w:eastAsia="da-DK"/>
        </w:rPr>
      </w:pPr>
      <w:r w:rsidRPr="00577043">
        <w:rPr>
          <w:rFonts w:eastAsia="Times New Roman" w:cs="Times New Roman"/>
          <w:iCs/>
          <w:lang w:eastAsia="da-DK"/>
        </w:rPr>
        <w:t xml:space="preserve">Til § </w:t>
      </w:r>
      <w:r w:rsidR="004B6228">
        <w:rPr>
          <w:rFonts w:eastAsia="Times New Roman" w:cs="Times New Roman"/>
          <w:iCs/>
          <w:lang w:eastAsia="da-DK"/>
        </w:rPr>
        <w:t>14</w:t>
      </w:r>
      <w:r w:rsidRPr="00577043">
        <w:rPr>
          <w:rFonts w:eastAsia="Times New Roman" w:cs="Times New Roman"/>
          <w:lang w:eastAsia="da-DK"/>
        </w:rPr>
        <w:t>[Sprogkrav]</w:t>
      </w:r>
    </w:p>
    <w:p w14:paraId="65AAB1FC" w14:textId="77777777" w:rsidR="00CD3C2E" w:rsidRPr="00577043" w:rsidRDefault="007A0B65" w:rsidP="002513FD">
      <w:pPr>
        <w:rPr>
          <w:rFonts w:cs="Times New Roman"/>
          <w:lang w:eastAsia="da-DK"/>
        </w:rPr>
      </w:pPr>
      <w:r w:rsidRPr="00577043">
        <w:rPr>
          <w:rFonts w:cs="Times New Roman"/>
          <w:lang w:eastAsia="da-DK"/>
        </w:rPr>
        <w:t xml:space="preserve">Det følger af forordningens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sidRPr="00577043">
        <w:rPr>
          <w:rFonts w:cs="Times New Roman"/>
          <w:lang w:eastAsia="da-DK"/>
        </w:rPr>
        <w:t xml:space="preserve"> </w:t>
      </w:r>
      <w:r w:rsidRPr="00577043">
        <w:rPr>
          <w:rFonts w:cs="Times New Roman"/>
          <w:lang w:eastAsia="da-DK"/>
        </w:rPr>
        <w:t>26, at den berørte medlemsstat fastsætter, hvilket sprog der anvendes i ansøgningsdossieret eller i dele heraf. Medlemsstaterne tager stilling til, om det kan accepteres, at den dokumentation, der ikke er rettet mod forsøgspersonen, affattes på et sprog, som er almindeligt forståeligt på det medicinske område.</w:t>
      </w:r>
    </w:p>
    <w:p w14:paraId="607AF699" w14:textId="77777777" w:rsidR="007A0B65" w:rsidRPr="00577043" w:rsidRDefault="007A0B65" w:rsidP="00CD3C2E">
      <w:pPr>
        <w:rPr>
          <w:rFonts w:cs="Times New Roman"/>
          <w:lang w:eastAsia="da-DK"/>
        </w:rPr>
      </w:pPr>
    </w:p>
    <w:p w14:paraId="68534005" w14:textId="77777777" w:rsidR="00CD3C2E" w:rsidRPr="00577043" w:rsidRDefault="00CD3C2E" w:rsidP="002513FD">
      <w:pPr>
        <w:rPr>
          <w:rFonts w:eastAsia="Times New Roman" w:cs="Times New Roman"/>
          <w:color w:val="000000"/>
          <w:lang w:eastAsia="da-DK"/>
        </w:rPr>
      </w:pPr>
      <w:r w:rsidRPr="00577043">
        <w:rPr>
          <w:rFonts w:cs="Times New Roman"/>
          <w:lang w:eastAsia="da-DK"/>
        </w:rPr>
        <w:t>Det foreslås</w:t>
      </w:r>
      <w:r w:rsidR="007A0B65" w:rsidRPr="00577043">
        <w:rPr>
          <w:rFonts w:cs="Times New Roman"/>
          <w:lang w:eastAsia="da-DK"/>
        </w:rPr>
        <w:t xml:space="preserve"> med § </w:t>
      </w:r>
      <w:r w:rsidR="00907BD6">
        <w:rPr>
          <w:rFonts w:cs="Times New Roman"/>
          <w:lang w:eastAsia="da-DK"/>
        </w:rPr>
        <w:t>14</w:t>
      </w:r>
      <w:r w:rsidRPr="00577043">
        <w:rPr>
          <w:rFonts w:cs="Times New Roman"/>
          <w:lang w:eastAsia="da-DK"/>
        </w:rPr>
        <w:t xml:space="preserve">, at </w:t>
      </w:r>
      <w:r w:rsidR="00A22EAD" w:rsidRPr="00577043">
        <w:rPr>
          <w:rFonts w:eastAsia="Times New Roman" w:cs="Times New Roman"/>
          <w:color w:val="000000"/>
          <w:lang w:eastAsia="da-DK"/>
        </w:rPr>
        <w:t>sundheds- og ældreministeren</w:t>
      </w:r>
      <w:r w:rsidRPr="00577043">
        <w:rPr>
          <w:rFonts w:eastAsia="Times New Roman" w:cs="Times New Roman"/>
          <w:color w:val="000000"/>
          <w:lang w:eastAsia="da-DK"/>
        </w:rPr>
        <w:t xml:space="preserve"> bemyndiges til at fastsætte krav til sprog i ansøgningsdossier. </w:t>
      </w:r>
      <w:r w:rsidR="008D6F99" w:rsidRPr="00577043">
        <w:rPr>
          <w:rFonts w:eastAsia="Times New Roman" w:cs="Times New Roman"/>
          <w:color w:val="000000"/>
          <w:lang w:eastAsia="da-DK"/>
        </w:rPr>
        <w:t xml:space="preserve">Bemyndigelsen vil blive benyttet til at fastsætte, at </w:t>
      </w:r>
      <w:r w:rsidR="007A0B65" w:rsidRPr="00577043">
        <w:rPr>
          <w:rFonts w:eastAsia="Times New Roman" w:cs="Times New Roman"/>
          <w:color w:val="000000"/>
          <w:lang w:eastAsia="da-DK"/>
        </w:rPr>
        <w:t>sponsor kan vælge mellem at indsende en ansøgning på engelsk eller dansk</w:t>
      </w:r>
      <w:r w:rsidR="002513FD" w:rsidRPr="00577043">
        <w:rPr>
          <w:rFonts w:eastAsia="Times New Roman" w:cs="Times New Roman"/>
          <w:color w:val="000000"/>
          <w:lang w:eastAsia="da-DK"/>
        </w:rPr>
        <w:t>, idet information, som er rettet mod</w:t>
      </w:r>
      <w:r w:rsidR="006772E0">
        <w:rPr>
          <w:rFonts w:eastAsia="Times New Roman" w:cs="Times New Roman"/>
          <w:color w:val="000000"/>
          <w:lang w:eastAsia="da-DK"/>
        </w:rPr>
        <w:t xml:space="preserve"> danske</w:t>
      </w:r>
      <w:r w:rsidR="002513FD" w:rsidRPr="00577043">
        <w:rPr>
          <w:rFonts w:eastAsia="Times New Roman" w:cs="Times New Roman"/>
          <w:color w:val="000000"/>
          <w:lang w:eastAsia="da-DK"/>
        </w:rPr>
        <w:t xml:space="preserve"> forsøgspersoner, dog skal være på dansk.</w:t>
      </w:r>
      <w:r w:rsidR="007A0B65" w:rsidRPr="00577043">
        <w:rPr>
          <w:rFonts w:eastAsia="Times New Roman" w:cs="Times New Roman"/>
          <w:color w:val="000000"/>
          <w:lang w:eastAsia="da-DK"/>
        </w:rPr>
        <w:t xml:space="preserve"> </w:t>
      </w:r>
    </w:p>
    <w:p w14:paraId="5CCBE3FE" w14:textId="77777777" w:rsidR="00BE2327" w:rsidRPr="00BE2327" w:rsidRDefault="00BE2327" w:rsidP="00BE2327">
      <w:pPr>
        <w:rPr>
          <w:lang w:eastAsia="da-DK"/>
        </w:rPr>
      </w:pPr>
    </w:p>
    <w:p w14:paraId="14F681DC" w14:textId="77777777" w:rsidR="00556D65" w:rsidRDefault="00F205A8" w:rsidP="0012631D">
      <w:pPr>
        <w:pStyle w:val="Overskrift2"/>
        <w:jc w:val="left"/>
        <w:rPr>
          <w:rFonts w:eastAsia="Times New Roman" w:cs="Times New Roman"/>
          <w:iCs/>
          <w:color w:val="000000"/>
          <w:lang w:eastAsia="da-DK"/>
        </w:rPr>
      </w:pPr>
      <w:r w:rsidRPr="00577043">
        <w:rPr>
          <w:rFonts w:eastAsia="Times New Roman" w:cs="Times New Roman"/>
          <w:lang w:eastAsia="da-DK"/>
        </w:rPr>
        <w:t xml:space="preserve">Til § </w:t>
      </w:r>
      <w:r w:rsidR="00EC729B">
        <w:rPr>
          <w:rFonts w:eastAsia="Times New Roman" w:cs="Times New Roman"/>
          <w:lang w:eastAsia="da-DK"/>
        </w:rPr>
        <w:t>15</w:t>
      </w:r>
      <w:r w:rsidRPr="00577043">
        <w:rPr>
          <w:rFonts w:eastAsia="Times New Roman" w:cs="Times New Roman"/>
          <w:lang w:eastAsia="da-DK"/>
        </w:rPr>
        <w:t xml:space="preserve"> [</w:t>
      </w:r>
      <w:r w:rsidR="00334815">
        <w:rPr>
          <w:rFonts w:eastAsia="Times New Roman" w:cs="Times New Roman"/>
          <w:lang w:eastAsia="da-DK"/>
        </w:rPr>
        <w:t>Kontrol med</w:t>
      </w:r>
      <w:r>
        <w:rPr>
          <w:rFonts w:eastAsia="Times New Roman" w:cs="Times New Roman"/>
          <w:lang w:eastAsia="da-DK"/>
        </w:rPr>
        <w:t xml:space="preserve"> indberetning af </w:t>
      </w:r>
      <w:r w:rsidR="00334815">
        <w:rPr>
          <w:rFonts w:eastAsia="Times New Roman" w:cs="Times New Roman"/>
          <w:lang w:eastAsia="da-DK"/>
        </w:rPr>
        <w:t xml:space="preserve">forsøgets </w:t>
      </w:r>
      <w:r>
        <w:rPr>
          <w:rFonts w:eastAsia="Times New Roman" w:cs="Times New Roman"/>
          <w:lang w:eastAsia="da-DK"/>
        </w:rPr>
        <w:t>påbegyndelse m</w:t>
      </w:r>
      <w:r w:rsidR="00094421">
        <w:rPr>
          <w:rFonts w:eastAsia="Times New Roman" w:cs="Times New Roman"/>
          <w:lang w:eastAsia="da-DK"/>
        </w:rPr>
        <w:t>.</w:t>
      </w:r>
      <w:r>
        <w:rPr>
          <w:rFonts w:eastAsia="Times New Roman" w:cs="Times New Roman"/>
          <w:lang w:eastAsia="da-DK"/>
        </w:rPr>
        <w:t>v.</w:t>
      </w:r>
      <w:r w:rsidRPr="00577043">
        <w:rPr>
          <w:rFonts w:eastAsia="Times New Roman" w:cs="Times New Roman"/>
          <w:lang w:eastAsia="da-DK"/>
        </w:rPr>
        <w:t>]</w:t>
      </w:r>
    </w:p>
    <w:p w14:paraId="4FE08EB1" w14:textId="77777777" w:rsidR="0039551D" w:rsidRDefault="0039551D" w:rsidP="0039551D">
      <w:pPr>
        <w:rPr>
          <w:rFonts w:eastAsia="Times New Roman" w:cs="Times New Roman"/>
          <w:iCs/>
          <w:color w:val="000000"/>
          <w:lang w:eastAsia="da-DK"/>
        </w:rPr>
      </w:pPr>
      <w:r>
        <w:rPr>
          <w:rFonts w:eastAsia="Times New Roman" w:cs="Times New Roman"/>
          <w:iCs/>
          <w:color w:val="000000"/>
          <w:lang w:eastAsia="da-DK"/>
        </w:rPr>
        <w:t>Artiklerne 36</w:t>
      </w:r>
      <w:r w:rsidR="00143147">
        <w:rPr>
          <w:rFonts w:eastAsia="Times New Roman" w:cs="Times New Roman"/>
          <w:iCs/>
          <w:color w:val="000000"/>
          <w:lang w:eastAsia="da-DK"/>
        </w:rPr>
        <w:t xml:space="preserve"> og</w:t>
      </w:r>
      <w:r>
        <w:rPr>
          <w:rFonts w:eastAsia="Times New Roman" w:cs="Times New Roman"/>
          <w:iCs/>
          <w:color w:val="000000"/>
          <w:lang w:eastAsia="da-DK"/>
        </w:rPr>
        <w:t xml:space="preserve"> 37 pålægger sponsor en række forpligtelser til at underrette myndighederne </w:t>
      </w:r>
      <w:r w:rsidR="00574B02">
        <w:rPr>
          <w:rFonts w:eastAsia="Times New Roman" w:cs="Times New Roman"/>
          <w:iCs/>
          <w:color w:val="000000"/>
          <w:lang w:eastAsia="da-DK"/>
        </w:rPr>
        <w:t>om</w:t>
      </w:r>
      <w:r w:rsidR="00F15A22">
        <w:rPr>
          <w:rFonts w:eastAsia="Times New Roman" w:cs="Times New Roman"/>
          <w:iCs/>
          <w:color w:val="000000"/>
          <w:lang w:eastAsia="da-DK"/>
        </w:rPr>
        <w:t xml:space="preserve"> bl.a.</w:t>
      </w:r>
      <w:r>
        <w:rPr>
          <w:rFonts w:eastAsia="Times New Roman" w:cs="Times New Roman"/>
          <w:iCs/>
          <w:color w:val="000000"/>
          <w:lang w:eastAsia="da-DK"/>
        </w:rPr>
        <w:t xml:space="preserve"> afslutning af rekruttering af forsøgspersoner, </w:t>
      </w:r>
      <w:r w:rsidR="00F15A22">
        <w:rPr>
          <w:rFonts w:eastAsia="Times New Roman" w:cs="Times New Roman"/>
          <w:iCs/>
          <w:color w:val="000000"/>
          <w:lang w:eastAsia="da-DK"/>
        </w:rPr>
        <w:t>på</w:t>
      </w:r>
      <w:r>
        <w:rPr>
          <w:rFonts w:eastAsia="Times New Roman" w:cs="Times New Roman"/>
          <w:iCs/>
          <w:color w:val="000000"/>
          <w:lang w:eastAsia="da-DK"/>
        </w:rPr>
        <w:t xml:space="preserve">begyndelse og afslutning af det kliniske forsøg, indsendelse af resumé af forsøget efter afslutningen, første forsøgspersons første </w:t>
      </w:r>
      <w:r w:rsidR="00F15A22">
        <w:rPr>
          <w:rFonts w:eastAsia="Times New Roman" w:cs="Times New Roman"/>
          <w:iCs/>
          <w:color w:val="000000"/>
          <w:lang w:eastAsia="da-DK"/>
        </w:rPr>
        <w:t>be</w:t>
      </w:r>
      <w:r>
        <w:rPr>
          <w:rFonts w:eastAsia="Times New Roman" w:cs="Times New Roman"/>
          <w:iCs/>
          <w:color w:val="000000"/>
          <w:lang w:eastAsia="da-DK"/>
        </w:rPr>
        <w:t>søg samt at indsende en årlig rapport</w:t>
      </w:r>
      <w:r w:rsidR="00F15A22">
        <w:rPr>
          <w:rFonts w:eastAsia="Times New Roman" w:cs="Times New Roman"/>
          <w:iCs/>
          <w:color w:val="000000"/>
          <w:lang w:eastAsia="da-DK"/>
        </w:rPr>
        <w:t xml:space="preserve"> om sikkerheden ved forsøgslægemidlerne</w:t>
      </w:r>
      <w:r>
        <w:rPr>
          <w:rFonts w:eastAsia="Times New Roman" w:cs="Times New Roman"/>
          <w:iCs/>
          <w:color w:val="000000"/>
          <w:lang w:eastAsia="da-DK"/>
        </w:rPr>
        <w:t xml:space="preserve">. Med </w:t>
      </w:r>
      <w:r w:rsidR="00556D65" w:rsidRPr="009F5CDF">
        <w:rPr>
          <w:rFonts w:eastAsia="Times New Roman" w:cs="Times New Roman"/>
          <w:i/>
          <w:iCs/>
          <w:color w:val="000000"/>
          <w:lang w:eastAsia="da-DK"/>
        </w:rPr>
        <w:t xml:space="preserve">§ </w:t>
      </w:r>
      <w:r w:rsidR="003E5905">
        <w:rPr>
          <w:rFonts w:eastAsia="Times New Roman" w:cs="Times New Roman"/>
          <w:i/>
          <w:iCs/>
          <w:color w:val="000000"/>
          <w:lang w:eastAsia="da-DK"/>
        </w:rPr>
        <w:t>15</w:t>
      </w:r>
      <w:r w:rsidR="00556D65" w:rsidRPr="009F5CDF">
        <w:rPr>
          <w:rFonts w:eastAsia="Times New Roman" w:cs="Times New Roman"/>
          <w:i/>
          <w:iCs/>
          <w:color w:val="000000"/>
          <w:lang w:eastAsia="da-DK"/>
        </w:rPr>
        <w:t>, stk. 1</w:t>
      </w:r>
      <w:r w:rsidR="00556D65">
        <w:rPr>
          <w:rFonts w:eastAsia="Times New Roman" w:cs="Times New Roman"/>
          <w:iCs/>
          <w:color w:val="000000"/>
          <w:lang w:eastAsia="da-DK"/>
        </w:rPr>
        <w:t>,</w:t>
      </w:r>
      <w:r>
        <w:rPr>
          <w:rFonts w:eastAsia="Times New Roman" w:cs="Times New Roman"/>
          <w:iCs/>
          <w:color w:val="000000"/>
          <w:lang w:eastAsia="da-DK"/>
        </w:rPr>
        <w:t xml:space="preserve"> foreslås det, at </w:t>
      </w:r>
      <w:r w:rsidR="0058651B">
        <w:rPr>
          <w:rFonts w:eastAsia="Times New Roman" w:cs="Times New Roman"/>
          <w:iCs/>
          <w:color w:val="000000"/>
          <w:lang w:eastAsia="da-DK"/>
        </w:rPr>
        <w:t>Lægemiddelstyrelsen</w:t>
      </w:r>
      <w:r>
        <w:rPr>
          <w:rFonts w:eastAsia="Times New Roman" w:cs="Times New Roman"/>
          <w:iCs/>
          <w:color w:val="000000"/>
          <w:lang w:eastAsia="da-DK"/>
        </w:rPr>
        <w:t xml:space="preserve"> overordnet sikrer sig, at sponsor overholder disse forpligtelser. </w:t>
      </w:r>
    </w:p>
    <w:p w14:paraId="74CEF7DC" w14:textId="77777777" w:rsidR="00143147" w:rsidRDefault="00143147" w:rsidP="0039551D">
      <w:pPr>
        <w:rPr>
          <w:rFonts w:eastAsia="Times New Roman" w:cs="Times New Roman"/>
          <w:iCs/>
          <w:color w:val="000000"/>
          <w:lang w:eastAsia="da-DK"/>
        </w:rPr>
      </w:pPr>
    </w:p>
    <w:p w14:paraId="4307B1C7" w14:textId="77777777" w:rsidR="00723EE6" w:rsidRDefault="00723EE6" w:rsidP="00723EE6">
      <w:pPr>
        <w:rPr>
          <w:rFonts w:eastAsia="Times New Roman" w:cs="Times New Roman"/>
          <w:iCs/>
          <w:color w:val="000000"/>
          <w:lang w:eastAsia="da-DK"/>
        </w:rPr>
      </w:pPr>
      <w:r>
        <w:rPr>
          <w:rFonts w:eastAsia="Times New Roman" w:cs="Times New Roman"/>
          <w:iCs/>
          <w:color w:val="000000"/>
          <w:lang w:eastAsia="da-DK"/>
        </w:rPr>
        <w:t xml:space="preserve">Kommissionen kan i medfør af forordningens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Pr>
          <w:rFonts w:eastAsia="Times New Roman" w:cs="Times New Roman"/>
          <w:iCs/>
          <w:color w:val="000000"/>
          <w:lang w:eastAsia="da-DK"/>
        </w:rPr>
        <w:t xml:space="preserve"> </w:t>
      </w:r>
      <w:r>
        <w:rPr>
          <w:rFonts w:eastAsia="Times New Roman" w:cs="Times New Roman"/>
          <w:iCs/>
          <w:color w:val="000000"/>
          <w:lang w:eastAsia="da-DK"/>
        </w:rPr>
        <w:t xml:space="preserve">45 og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Pr>
          <w:rFonts w:eastAsia="Times New Roman" w:cs="Times New Roman"/>
          <w:iCs/>
          <w:color w:val="000000"/>
          <w:lang w:eastAsia="da-DK"/>
        </w:rPr>
        <w:t xml:space="preserve"> </w:t>
      </w:r>
      <w:r>
        <w:rPr>
          <w:rFonts w:eastAsia="Times New Roman" w:cs="Times New Roman"/>
          <w:iCs/>
          <w:color w:val="000000"/>
          <w:lang w:eastAsia="da-DK"/>
        </w:rPr>
        <w:t xml:space="preserve">89 udstede delegerede retsakter </w:t>
      </w:r>
      <w:r w:rsidR="00574B02">
        <w:rPr>
          <w:rFonts w:eastAsia="Times New Roman" w:cs="Times New Roman"/>
          <w:iCs/>
          <w:color w:val="000000"/>
          <w:lang w:eastAsia="da-DK"/>
        </w:rPr>
        <w:t>om</w:t>
      </w:r>
      <w:r>
        <w:rPr>
          <w:rFonts w:eastAsia="Times New Roman" w:cs="Times New Roman"/>
          <w:iCs/>
          <w:color w:val="000000"/>
          <w:lang w:eastAsia="da-DK"/>
        </w:rPr>
        <w:t xml:space="preserve"> regler om indberetning i overensstemmelse med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Pr>
          <w:rFonts w:eastAsia="Times New Roman" w:cs="Times New Roman"/>
          <w:iCs/>
          <w:color w:val="000000"/>
          <w:lang w:eastAsia="da-DK"/>
        </w:rPr>
        <w:t xml:space="preserve"> </w:t>
      </w:r>
      <w:r>
        <w:rPr>
          <w:rFonts w:eastAsia="Times New Roman" w:cs="Times New Roman"/>
          <w:iCs/>
          <w:color w:val="000000"/>
          <w:lang w:eastAsia="da-DK"/>
        </w:rPr>
        <w:t xml:space="preserve">41-44. Det foreslås derfor med </w:t>
      </w:r>
      <w:r w:rsidRPr="009F5CDF">
        <w:rPr>
          <w:rFonts w:eastAsia="Times New Roman" w:cs="Times New Roman"/>
          <w:i/>
          <w:iCs/>
          <w:color w:val="000000"/>
          <w:lang w:eastAsia="da-DK"/>
        </w:rPr>
        <w:t xml:space="preserve">§ </w:t>
      </w:r>
      <w:r w:rsidR="003E5905">
        <w:rPr>
          <w:rFonts w:eastAsia="Times New Roman" w:cs="Times New Roman"/>
          <w:i/>
          <w:iCs/>
          <w:color w:val="000000"/>
          <w:lang w:eastAsia="da-DK"/>
        </w:rPr>
        <w:t>15</w:t>
      </w:r>
      <w:r w:rsidR="001C3D32">
        <w:rPr>
          <w:rFonts w:eastAsia="Times New Roman" w:cs="Times New Roman"/>
          <w:i/>
          <w:iCs/>
          <w:color w:val="000000"/>
          <w:lang w:eastAsia="da-DK"/>
        </w:rPr>
        <w:t>b</w:t>
      </w:r>
      <w:r w:rsidRPr="009F5CDF">
        <w:rPr>
          <w:rFonts w:eastAsia="Times New Roman" w:cs="Times New Roman"/>
          <w:i/>
          <w:iCs/>
          <w:color w:val="000000"/>
          <w:lang w:eastAsia="da-DK"/>
        </w:rPr>
        <w:t xml:space="preserve">, stk. </w:t>
      </w:r>
      <w:r>
        <w:rPr>
          <w:rFonts w:eastAsia="Times New Roman" w:cs="Times New Roman"/>
          <w:i/>
          <w:iCs/>
          <w:color w:val="000000"/>
          <w:lang w:eastAsia="da-DK"/>
        </w:rPr>
        <w:t>2</w:t>
      </w:r>
      <w:r>
        <w:rPr>
          <w:rFonts w:eastAsia="Times New Roman" w:cs="Times New Roman"/>
          <w:iCs/>
          <w:color w:val="000000"/>
          <w:lang w:eastAsia="da-DK"/>
        </w:rPr>
        <w:t xml:space="preserve">, at ministeren bemyndiges til at udstede nærmere regler, om </w:t>
      </w:r>
      <w:r w:rsidR="003E5905">
        <w:rPr>
          <w:rFonts w:eastAsia="Times New Roman" w:cs="Times New Roman"/>
          <w:iCs/>
          <w:color w:val="000000"/>
          <w:lang w:eastAsia="da-DK"/>
        </w:rPr>
        <w:t xml:space="preserve">hvilke andre </w:t>
      </w:r>
      <w:r w:rsidR="001742A2">
        <w:rPr>
          <w:rFonts w:eastAsia="Times New Roman" w:cs="Times New Roman"/>
          <w:iCs/>
          <w:color w:val="000000"/>
          <w:lang w:eastAsia="da-DK"/>
        </w:rPr>
        <w:t>indberetnings</w:t>
      </w:r>
      <w:r w:rsidR="003E5905">
        <w:rPr>
          <w:rFonts w:eastAsia="Times New Roman" w:cs="Times New Roman"/>
          <w:iCs/>
          <w:color w:val="000000"/>
          <w:lang w:eastAsia="da-DK"/>
        </w:rPr>
        <w:t>forpligtelser</w:t>
      </w:r>
      <w:r w:rsidR="001742A2">
        <w:rPr>
          <w:rFonts w:eastAsia="Times New Roman" w:cs="Times New Roman"/>
          <w:iCs/>
          <w:color w:val="000000"/>
          <w:lang w:eastAsia="da-DK"/>
        </w:rPr>
        <w:t xml:space="preserve"> </w:t>
      </w:r>
      <w:r w:rsidR="00574B02">
        <w:rPr>
          <w:rFonts w:eastAsia="Times New Roman" w:cs="Times New Roman"/>
          <w:iCs/>
          <w:color w:val="000000"/>
          <w:lang w:eastAsia="da-DK"/>
        </w:rPr>
        <w:t>om</w:t>
      </w:r>
      <w:r w:rsidR="001742A2">
        <w:rPr>
          <w:rFonts w:eastAsia="Times New Roman" w:cs="Times New Roman"/>
          <w:iCs/>
          <w:color w:val="000000"/>
          <w:lang w:eastAsia="da-DK"/>
        </w:rPr>
        <w:t xml:space="preserve"> påbegyndelse af forsøg m</w:t>
      </w:r>
      <w:r w:rsidR="00094421">
        <w:rPr>
          <w:rFonts w:eastAsia="Times New Roman" w:cs="Times New Roman"/>
          <w:iCs/>
          <w:color w:val="000000"/>
          <w:lang w:eastAsia="da-DK"/>
        </w:rPr>
        <w:t>.</w:t>
      </w:r>
      <w:r w:rsidR="001742A2">
        <w:rPr>
          <w:rFonts w:eastAsia="Times New Roman" w:cs="Times New Roman"/>
          <w:iCs/>
          <w:color w:val="000000"/>
          <w:lang w:eastAsia="da-DK"/>
        </w:rPr>
        <w:t>v.</w:t>
      </w:r>
      <w:r w:rsidR="003E5905">
        <w:rPr>
          <w:rFonts w:eastAsia="Times New Roman" w:cs="Times New Roman"/>
          <w:iCs/>
          <w:color w:val="000000"/>
          <w:lang w:eastAsia="da-DK"/>
        </w:rPr>
        <w:t>, som Lægemiddelstyrelsen eller den videnskabsetiske lægemiddelkomité skal sikre overholdelse af.</w:t>
      </w:r>
      <w:r>
        <w:rPr>
          <w:rFonts w:eastAsia="Times New Roman" w:cs="Times New Roman"/>
          <w:iCs/>
          <w:color w:val="000000"/>
          <w:lang w:eastAsia="da-DK"/>
        </w:rPr>
        <w:t xml:space="preserve"> </w:t>
      </w:r>
    </w:p>
    <w:p w14:paraId="193BE6B4" w14:textId="77777777" w:rsidR="003C6B71" w:rsidRPr="0029754D" w:rsidRDefault="003C6B71" w:rsidP="00723EE6">
      <w:pPr>
        <w:rPr>
          <w:rFonts w:eastAsia="Times New Roman" w:cs="Times New Roman"/>
          <w:iCs/>
          <w:color w:val="000000"/>
          <w:lang w:eastAsia="da-DK"/>
        </w:rPr>
      </w:pPr>
    </w:p>
    <w:p w14:paraId="2A0E3ED7" w14:textId="77777777" w:rsidR="00D200AD" w:rsidRPr="00D200AD" w:rsidRDefault="00D200AD" w:rsidP="0012631D">
      <w:pPr>
        <w:pStyle w:val="Overskrift2"/>
        <w:jc w:val="left"/>
        <w:rPr>
          <w:lang w:eastAsia="da-DK"/>
        </w:rPr>
      </w:pPr>
      <w:r>
        <w:rPr>
          <w:lang w:eastAsia="da-DK"/>
        </w:rPr>
        <w:t xml:space="preserve">Til § </w:t>
      </w:r>
      <w:r w:rsidR="003E5905">
        <w:rPr>
          <w:lang w:eastAsia="da-DK"/>
        </w:rPr>
        <w:t>16</w:t>
      </w:r>
      <w:r w:rsidR="00334815">
        <w:rPr>
          <w:lang w:eastAsia="da-DK"/>
        </w:rPr>
        <w:t xml:space="preserve"> </w:t>
      </w:r>
      <w:r w:rsidR="00C164B9">
        <w:rPr>
          <w:lang w:eastAsia="da-DK"/>
        </w:rPr>
        <w:t>[</w:t>
      </w:r>
      <w:r w:rsidR="00334815">
        <w:rPr>
          <w:lang w:eastAsia="da-DK"/>
        </w:rPr>
        <w:t>Overvågning</w:t>
      </w:r>
      <w:r w:rsidR="00C164B9">
        <w:rPr>
          <w:lang w:eastAsia="da-DK"/>
        </w:rPr>
        <w:t xml:space="preserve"> af forsøg]</w:t>
      </w:r>
    </w:p>
    <w:p w14:paraId="7F8D8176" w14:textId="77777777" w:rsidR="0067248E" w:rsidRDefault="009F5CDF" w:rsidP="0067248E">
      <w:pPr>
        <w:rPr>
          <w:rFonts w:eastAsia="Times New Roman" w:cs="Times New Roman"/>
          <w:color w:val="000000"/>
          <w:lang w:eastAsia="da-DK"/>
        </w:rPr>
      </w:pPr>
      <w:r>
        <w:rPr>
          <w:rFonts w:eastAsia="Times New Roman" w:cs="Times New Roman"/>
          <w:iCs/>
          <w:color w:val="000000"/>
          <w:lang w:eastAsia="da-DK"/>
        </w:rPr>
        <w:t>S</w:t>
      </w:r>
      <w:r w:rsidR="00D200AD">
        <w:rPr>
          <w:rFonts w:eastAsia="Times New Roman" w:cs="Times New Roman"/>
          <w:color w:val="000000"/>
          <w:lang w:eastAsia="da-DK"/>
        </w:rPr>
        <w:t xml:space="preserve">ponsor </w:t>
      </w:r>
      <w:r>
        <w:rPr>
          <w:rFonts w:eastAsia="Times New Roman" w:cs="Times New Roman"/>
          <w:color w:val="000000"/>
          <w:lang w:eastAsia="da-DK"/>
        </w:rPr>
        <w:t xml:space="preserve">skal </w:t>
      </w:r>
      <w:r w:rsidR="00D200AD">
        <w:rPr>
          <w:rFonts w:eastAsia="Times New Roman" w:cs="Times New Roman"/>
          <w:color w:val="000000"/>
          <w:lang w:eastAsia="da-DK"/>
        </w:rPr>
        <w:t xml:space="preserve">indberette formodede alvorlige uventede bivirkninger, jf.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Pr>
          <w:rFonts w:eastAsia="Times New Roman" w:cs="Times New Roman"/>
          <w:color w:val="000000"/>
          <w:lang w:eastAsia="da-DK"/>
        </w:rPr>
        <w:t xml:space="preserve"> </w:t>
      </w:r>
      <w:r w:rsidR="00D200AD">
        <w:rPr>
          <w:rFonts w:eastAsia="Times New Roman" w:cs="Times New Roman"/>
          <w:color w:val="000000"/>
          <w:lang w:eastAsia="da-DK"/>
        </w:rPr>
        <w:t>42</w:t>
      </w:r>
      <w:r w:rsidR="006F479F">
        <w:rPr>
          <w:rFonts w:eastAsia="Times New Roman" w:cs="Times New Roman"/>
          <w:color w:val="000000"/>
          <w:lang w:eastAsia="da-DK"/>
        </w:rPr>
        <w:t xml:space="preserve"> </w:t>
      </w:r>
      <w:r w:rsidR="0067248E">
        <w:rPr>
          <w:rFonts w:eastAsia="Times New Roman" w:cs="Times New Roman"/>
          <w:color w:val="000000"/>
          <w:lang w:eastAsia="da-DK"/>
        </w:rPr>
        <w:t>og årligt indberette en rapport om sikkerheden  af hvert forsøgslægemiddel, jf. artikel 43</w:t>
      </w:r>
      <w:r w:rsidR="00D200AD">
        <w:rPr>
          <w:rFonts w:eastAsia="Times New Roman" w:cs="Times New Roman"/>
          <w:color w:val="000000"/>
          <w:lang w:eastAsia="da-DK"/>
        </w:rPr>
        <w:t>.</w:t>
      </w:r>
      <w:r>
        <w:rPr>
          <w:rFonts w:eastAsia="Times New Roman" w:cs="Times New Roman"/>
          <w:color w:val="000000"/>
          <w:lang w:eastAsia="da-DK"/>
        </w:rPr>
        <w:t xml:space="preserve"> </w:t>
      </w:r>
      <w:r w:rsidR="00D200AD">
        <w:rPr>
          <w:rFonts w:eastAsia="Times New Roman" w:cs="Times New Roman"/>
          <w:color w:val="000000"/>
          <w:lang w:eastAsia="da-DK"/>
        </w:rPr>
        <w:t>Med den foresl</w:t>
      </w:r>
      <w:r w:rsidR="00D200AD" w:rsidRPr="008C6DA3">
        <w:rPr>
          <w:rFonts w:eastAsia="Times New Roman" w:cs="Times New Roman"/>
          <w:color w:val="000000"/>
          <w:lang w:eastAsia="da-DK"/>
        </w:rPr>
        <w:t>å</w:t>
      </w:r>
      <w:r w:rsidR="00D200AD">
        <w:rPr>
          <w:rFonts w:eastAsia="Times New Roman" w:cs="Times New Roman"/>
          <w:color w:val="000000"/>
          <w:lang w:eastAsia="da-DK"/>
        </w:rPr>
        <w:t xml:space="preserve">ede </w:t>
      </w:r>
      <w:r w:rsidR="00D200AD" w:rsidRPr="002F35FB">
        <w:rPr>
          <w:rFonts w:eastAsia="Times New Roman" w:cs="Times New Roman"/>
          <w:i/>
          <w:color w:val="000000"/>
          <w:lang w:eastAsia="da-DK"/>
        </w:rPr>
        <w:t xml:space="preserve">§ </w:t>
      </w:r>
      <w:r w:rsidR="003E5905">
        <w:rPr>
          <w:rFonts w:eastAsia="Times New Roman" w:cs="Times New Roman"/>
          <w:i/>
          <w:color w:val="000000"/>
          <w:lang w:eastAsia="da-DK"/>
        </w:rPr>
        <w:t>16</w:t>
      </w:r>
      <w:r w:rsidR="00D200AD" w:rsidRPr="002F35FB">
        <w:rPr>
          <w:rFonts w:eastAsia="Times New Roman" w:cs="Times New Roman"/>
          <w:i/>
          <w:color w:val="000000"/>
          <w:lang w:eastAsia="da-DK"/>
        </w:rPr>
        <w:t>, stk. 1</w:t>
      </w:r>
      <w:r w:rsidR="00D200AD" w:rsidRPr="008C6DA3">
        <w:rPr>
          <w:rFonts w:eastAsia="Times New Roman" w:cs="Times New Roman"/>
          <w:color w:val="000000"/>
          <w:lang w:eastAsia="da-DK"/>
        </w:rPr>
        <w:t xml:space="preserve">, foreslås det, at </w:t>
      </w:r>
      <w:r w:rsidR="0058651B">
        <w:rPr>
          <w:rFonts w:eastAsia="Times New Roman" w:cs="Times New Roman"/>
          <w:color w:val="000000"/>
          <w:lang w:eastAsia="da-DK"/>
        </w:rPr>
        <w:t>Lægemiddelstyrelsen</w:t>
      </w:r>
      <w:r w:rsidR="00D200AD" w:rsidRPr="00577043">
        <w:rPr>
          <w:rFonts w:eastAsia="Times New Roman" w:cs="Times New Roman"/>
          <w:color w:val="000000"/>
          <w:lang w:eastAsia="da-DK"/>
        </w:rPr>
        <w:t xml:space="preserve"> </w:t>
      </w:r>
      <w:r w:rsidR="0067248E" w:rsidRPr="00577043">
        <w:rPr>
          <w:rFonts w:eastAsia="Times New Roman" w:cs="Times New Roman"/>
          <w:color w:val="000000"/>
          <w:lang w:eastAsia="da-DK"/>
        </w:rPr>
        <w:t>vur</w:t>
      </w:r>
      <w:r w:rsidR="0067248E">
        <w:rPr>
          <w:rFonts w:eastAsia="Times New Roman" w:cs="Times New Roman"/>
          <w:color w:val="000000"/>
          <w:lang w:eastAsia="da-DK"/>
        </w:rPr>
        <w:t xml:space="preserve">derer indberetninger vedrørende formodede </w:t>
      </w:r>
      <w:r w:rsidR="0067248E" w:rsidRPr="00577043">
        <w:rPr>
          <w:rFonts w:eastAsia="Times New Roman" w:cs="Times New Roman"/>
          <w:color w:val="000000"/>
          <w:lang w:eastAsia="da-DK"/>
        </w:rPr>
        <w:t>alvorlige uventede bivirkninger</w:t>
      </w:r>
      <w:r w:rsidR="0067248E">
        <w:rPr>
          <w:rFonts w:eastAsia="Times New Roman" w:cs="Times New Roman"/>
          <w:color w:val="000000"/>
          <w:lang w:eastAsia="da-DK"/>
        </w:rPr>
        <w:t>, jf. artikel 42,</w:t>
      </w:r>
      <w:r w:rsidR="0067248E" w:rsidRPr="00577043">
        <w:rPr>
          <w:rFonts w:eastAsia="Times New Roman" w:cs="Times New Roman"/>
          <w:color w:val="000000"/>
          <w:lang w:eastAsia="da-DK"/>
        </w:rPr>
        <w:t xml:space="preserve"> </w:t>
      </w:r>
      <w:r w:rsidR="0067248E">
        <w:rPr>
          <w:rFonts w:eastAsia="Times New Roman" w:cs="Times New Roman"/>
          <w:color w:val="000000"/>
          <w:lang w:eastAsia="da-DK"/>
        </w:rPr>
        <w:t xml:space="preserve">og </w:t>
      </w:r>
      <w:r w:rsidR="0067248E" w:rsidRPr="00577043">
        <w:rPr>
          <w:rFonts w:eastAsia="Times New Roman" w:cs="Times New Roman"/>
          <w:color w:val="000000"/>
          <w:lang w:eastAsia="da-DK"/>
        </w:rPr>
        <w:t>sponsors årlige rapport om sikkerhed ved et forsøgslægemiddel</w:t>
      </w:r>
      <w:r w:rsidR="0067248E">
        <w:rPr>
          <w:rFonts w:eastAsia="Times New Roman" w:cs="Times New Roman"/>
          <w:color w:val="000000"/>
          <w:lang w:eastAsia="da-DK"/>
        </w:rPr>
        <w:t xml:space="preserve"> efter artikel 43 </w:t>
      </w:r>
      <w:r w:rsidR="0067248E" w:rsidRPr="00577043">
        <w:rPr>
          <w:rFonts w:eastAsia="Times New Roman" w:cs="Times New Roman"/>
          <w:color w:val="000000"/>
          <w:lang w:eastAsia="da-DK"/>
        </w:rPr>
        <w:t xml:space="preserve">i </w:t>
      </w:r>
      <w:r w:rsidR="00294601">
        <w:rPr>
          <w:rFonts w:eastAsia="Times New Roman" w:cs="Times New Roman"/>
          <w:color w:val="000000"/>
          <w:lang w:eastAsia="da-DK"/>
        </w:rPr>
        <w:t>forordningen</w:t>
      </w:r>
      <w:r w:rsidR="0067248E" w:rsidRPr="00577043">
        <w:rPr>
          <w:rFonts w:eastAsia="Times New Roman" w:cs="Times New Roman"/>
          <w:color w:val="000000"/>
          <w:lang w:eastAsia="da-DK"/>
        </w:rPr>
        <w:t>.</w:t>
      </w:r>
      <w:r w:rsidR="0067248E">
        <w:rPr>
          <w:rFonts w:eastAsia="Times New Roman" w:cs="Times New Roman"/>
          <w:color w:val="000000"/>
          <w:lang w:eastAsia="da-DK"/>
        </w:rPr>
        <w:t xml:space="preserve">  </w:t>
      </w:r>
    </w:p>
    <w:p w14:paraId="72AC9762" w14:textId="77777777" w:rsidR="0067248E" w:rsidRDefault="0067248E" w:rsidP="0067248E">
      <w:pPr>
        <w:rPr>
          <w:rFonts w:eastAsia="Times New Roman" w:cs="Times New Roman"/>
          <w:color w:val="000000"/>
          <w:lang w:eastAsia="da-DK"/>
        </w:rPr>
      </w:pPr>
    </w:p>
    <w:p w14:paraId="62386CD5" w14:textId="77777777" w:rsidR="0067248E" w:rsidRDefault="0067248E" w:rsidP="0067248E">
      <w:pPr>
        <w:rPr>
          <w:rFonts w:eastAsia="Times New Roman" w:cs="Times New Roman"/>
          <w:color w:val="000000"/>
          <w:lang w:eastAsia="da-DK"/>
        </w:rPr>
      </w:pPr>
      <w:r>
        <w:rPr>
          <w:rFonts w:eastAsia="Times New Roman" w:cs="Times New Roman"/>
          <w:color w:val="000000"/>
          <w:lang w:eastAsia="da-DK"/>
        </w:rPr>
        <w:t xml:space="preserve">Det foreslås desuden, at </w:t>
      </w:r>
      <w:r w:rsidR="0058651B">
        <w:rPr>
          <w:rFonts w:eastAsia="Times New Roman" w:cs="Times New Roman"/>
          <w:color w:val="000000"/>
          <w:lang w:eastAsia="da-DK"/>
        </w:rPr>
        <w:t>Lægemiddelstyrelsen</w:t>
      </w:r>
      <w:r w:rsidRPr="00577043">
        <w:rPr>
          <w:rFonts w:eastAsia="Times New Roman" w:cs="Times New Roman"/>
          <w:color w:val="000000"/>
          <w:lang w:eastAsia="da-DK"/>
        </w:rPr>
        <w:t xml:space="preserve"> inddrager</w:t>
      </w:r>
      <w:r>
        <w:rPr>
          <w:rFonts w:eastAsia="Times New Roman" w:cs="Times New Roman"/>
          <w:color w:val="000000"/>
          <w:lang w:eastAsia="da-DK"/>
        </w:rPr>
        <w:t xml:space="preserve"> </w:t>
      </w:r>
      <w:r w:rsidRPr="00577043">
        <w:rPr>
          <w:rFonts w:eastAsia="Times New Roman" w:cs="Times New Roman"/>
          <w:color w:val="000000"/>
          <w:lang w:eastAsia="da-DK"/>
        </w:rPr>
        <w:t>den videnskabsetiske komité</w:t>
      </w:r>
      <w:r>
        <w:rPr>
          <w:rFonts w:eastAsia="Times New Roman" w:cs="Times New Roman"/>
          <w:color w:val="000000"/>
          <w:lang w:eastAsia="da-DK"/>
        </w:rPr>
        <w:t>,</w:t>
      </w:r>
      <w:r w:rsidRPr="00577043">
        <w:rPr>
          <w:rFonts w:eastAsia="Times New Roman" w:cs="Times New Roman"/>
          <w:color w:val="000000"/>
          <w:lang w:eastAsia="da-DK"/>
        </w:rPr>
        <w:t xml:space="preserve"> </w:t>
      </w:r>
      <w:r>
        <w:rPr>
          <w:rFonts w:eastAsia="Times New Roman" w:cs="Times New Roman"/>
          <w:color w:val="000000"/>
          <w:lang w:eastAsia="da-DK"/>
        </w:rPr>
        <w:t xml:space="preserve">hvis </w:t>
      </w:r>
      <w:r w:rsidR="0058651B">
        <w:rPr>
          <w:rFonts w:eastAsia="Times New Roman" w:cs="Times New Roman"/>
          <w:color w:val="000000"/>
          <w:lang w:eastAsia="da-DK"/>
        </w:rPr>
        <w:t>Lægemiddelstyrelsen</w:t>
      </w:r>
      <w:r>
        <w:rPr>
          <w:rFonts w:eastAsia="Times New Roman" w:cs="Times New Roman"/>
          <w:color w:val="000000"/>
          <w:lang w:eastAsia="da-DK"/>
        </w:rPr>
        <w:t xml:space="preserve"> efter en sundhedsfaglig vurdering af indberetningen finder grundlag for at træffe korrigerende foranstaltninger efter forordningens artikel 77, jf. § </w:t>
      </w:r>
      <w:r w:rsidR="00A272DD">
        <w:rPr>
          <w:rFonts w:eastAsia="Times New Roman" w:cs="Times New Roman"/>
          <w:color w:val="000000"/>
          <w:lang w:eastAsia="da-DK"/>
        </w:rPr>
        <w:t>12</w:t>
      </w:r>
      <w:r>
        <w:rPr>
          <w:rFonts w:eastAsia="Times New Roman" w:cs="Times New Roman"/>
          <w:color w:val="000000"/>
          <w:lang w:eastAsia="da-DK"/>
        </w:rPr>
        <w:t>.</w:t>
      </w:r>
    </w:p>
    <w:p w14:paraId="29B40651" w14:textId="77777777" w:rsidR="00D200AD" w:rsidRDefault="00D200AD" w:rsidP="00D200AD">
      <w:pPr>
        <w:rPr>
          <w:rFonts w:eastAsia="Times New Roman" w:cs="Times New Roman"/>
          <w:b/>
          <w:color w:val="000000"/>
          <w:lang w:eastAsia="da-DK"/>
        </w:rPr>
      </w:pPr>
    </w:p>
    <w:p w14:paraId="7A630A38" w14:textId="77777777" w:rsidR="0067248E" w:rsidRDefault="0067248E" w:rsidP="0067248E">
      <w:r>
        <w:t>Der vil således ikke være tale om en selvstændig vurdering af alle bivirkningsindberetninger, men at komiteerne inddrages i de situationer, hvor der sundhedsfagligt ses at være grundlag for en reaktion, hvilket vil omfatte de situationer, hvor en bivirkning har betydning for forsøgspersonernes sikkerhed.</w:t>
      </w:r>
    </w:p>
    <w:p w14:paraId="448BFA68" w14:textId="77777777" w:rsidR="0067248E" w:rsidRDefault="0067248E" w:rsidP="0067248E"/>
    <w:p w14:paraId="49124F8F" w14:textId="77777777" w:rsidR="0067248E" w:rsidRDefault="0067248E" w:rsidP="0067248E">
      <w:pPr>
        <w:rPr>
          <w:rFonts w:eastAsia="Times New Roman" w:cs="Times New Roman"/>
          <w:color w:val="000000"/>
          <w:lang w:eastAsia="da-DK"/>
        </w:rPr>
      </w:pPr>
    </w:p>
    <w:p w14:paraId="5E82EA61" w14:textId="77777777" w:rsidR="0067248E" w:rsidRDefault="0067248E" w:rsidP="0067248E">
      <w:pPr>
        <w:rPr>
          <w:rFonts w:eastAsia="Times New Roman" w:cs="Times New Roman"/>
          <w:color w:val="000000"/>
          <w:lang w:eastAsia="da-DK"/>
        </w:rPr>
      </w:pPr>
      <w:r>
        <w:rPr>
          <w:rFonts w:eastAsia="Times New Roman" w:cs="Times New Roman"/>
          <w:color w:val="000000"/>
          <w:lang w:eastAsia="da-DK"/>
        </w:rPr>
        <w:t xml:space="preserve">Det foreslås desuden af § </w:t>
      </w:r>
      <w:r w:rsidR="00A272DD">
        <w:rPr>
          <w:rFonts w:eastAsia="Times New Roman" w:cs="Times New Roman"/>
          <w:color w:val="000000"/>
          <w:lang w:eastAsia="da-DK"/>
        </w:rPr>
        <w:t>16</w:t>
      </w:r>
      <w:r>
        <w:rPr>
          <w:rFonts w:eastAsia="Times New Roman" w:cs="Times New Roman"/>
          <w:color w:val="000000"/>
          <w:lang w:eastAsia="da-DK"/>
        </w:rPr>
        <w:t xml:space="preserve">, stk. 1, sidste punktum, at den videnskabsetiske komité kan anmode </w:t>
      </w:r>
      <w:r w:rsidR="0058651B">
        <w:rPr>
          <w:rFonts w:eastAsia="Times New Roman" w:cs="Times New Roman"/>
          <w:color w:val="000000"/>
          <w:lang w:eastAsia="da-DK"/>
        </w:rPr>
        <w:t>Lægemiddelstyrelsen</w:t>
      </w:r>
      <w:r>
        <w:rPr>
          <w:rFonts w:eastAsia="Times New Roman" w:cs="Times New Roman"/>
          <w:color w:val="000000"/>
          <w:lang w:eastAsia="da-DK"/>
        </w:rPr>
        <w:t xml:space="preserve"> om at overveje korrigerende foranstaltninger efter 1. pkt., såfremt komitéen finder det påkrævet.</w:t>
      </w:r>
      <w:r w:rsidRPr="00577043">
        <w:rPr>
          <w:rFonts w:eastAsia="Times New Roman" w:cs="Times New Roman"/>
          <w:color w:val="000000"/>
          <w:lang w:eastAsia="da-DK"/>
        </w:rPr>
        <w:t xml:space="preserve"> </w:t>
      </w:r>
    </w:p>
    <w:p w14:paraId="5F666560" w14:textId="77777777" w:rsidR="0067248E" w:rsidRDefault="0067248E" w:rsidP="0067248E">
      <w:pPr>
        <w:rPr>
          <w:rFonts w:eastAsia="Times New Roman" w:cs="Times New Roman"/>
          <w:color w:val="000000"/>
          <w:lang w:eastAsia="da-DK"/>
        </w:rPr>
      </w:pPr>
    </w:p>
    <w:p w14:paraId="764C016B" w14:textId="77777777" w:rsidR="0067248E" w:rsidRPr="00577043" w:rsidRDefault="0067248E" w:rsidP="0067248E">
      <w:pPr>
        <w:rPr>
          <w:rFonts w:eastAsia="Times New Roman" w:cs="Times New Roman"/>
          <w:color w:val="000000"/>
          <w:lang w:eastAsia="da-DK"/>
        </w:rPr>
      </w:pPr>
      <w:r>
        <w:rPr>
          <w:rFonts w:eastAsia="Times New Roman" w:cs="Times New Roman"/>
          <w:color w:val="000000"/>
          <w:lang w:eastAsia="da-DK"/>
        </w:rPr>
        <w:t>Om koordineringen af samarbejdet om korrigerende foranstaltninger efter artikel 77 henvis</w:t>
      </w:r>
      <w:r w:rsidR="00CA6F73">
        <w:rPr>
          <w:rFonts w:eastAsia="Times New Roman" w:cs="Times New Roman"/>
          <w:color w:val="000000"/>
          <w:lang w:eastAsia="da-DK"/>
        </w:rPr>
        <w:t xml:space="preserve">es til lovforslaget § </w:t>
      </w:r>
      <w:r w:rsidR="00A272DD">
        <w:rPr>
          <w:rFonts w:eastAsia="Times New Roman" w:cs="Times New Roman"/>
          <w:color w:val="000000"/>
          <w:lang w:eastAsia="da-DK"/>
        </w:rPr>
        <w:t>9</w:t>
      </w:r>
      <w:r w:rsidR="00CA6F73">
        <w:rPr>
          <w:rFonts w:eastAsia="Times New Roman" w:cs="Times New Roman"/>
          <w:color w:val="000000"/>
          <w:lang w:eastAsia="da-DK"/>
        </w:rPr>
        <w:t>, stk. 1</w:t>
      </w:r>
      <w:r>
        <w:rPr>
          <w:rFonts w:eastAsia="Times New Roman" w:cs="Times New Roman"/>
          <w:color w:val="000000"/>
          <w:lang w:eastAsia="da-DK"/>
        </w:rPr>
        <w:t>.</w:t>
      </w:r>
    </w:p>
    <w:p w14:paraId="5CDF5523" w14:textId="77777777" w:rsidR="0067248E" w:rsidRDefault="0067248E" w:rsidP="00D200AD">
      <w:pPr>
        <w:rPr>
          <w:rFonts w:eastAsia="Times New Roman" w:cs="Times New Roman"/>
          <w:b/>
          <w:color w:val="000000"/>
          <w:lang w:eastAsia="da-DK"/>
        </w:rPr>
      </w:pPr>
    </w:p>
    <w:p w14:paraId="7ED215E0" w14:textId="77777777" w:rsidR="0067248E" w:rsidRDefault="0067248E" w:rsidP="0067248E">
      <w:r>
        <w:lastRenderedPageBreak/>
        <w:t xml:space="preserve">Det foreslås samtidig i </w:t>
      </w:r>
      <w:r w:rsidR="00A272DD">
        <w:t xml:space="preserve">§ 16, </w:t>
      </w:r>
      <w:r>
        <w:t xml:space="preserve">stk. 2, at de </w:t>
      </w:r>
      <w:r w:rsidR="00146E79">
        <w:t>videnskabs</w:t>
      </w:r>
      <w:r>
        <w:t xml:space="preserve">etiske </w:t>
      </w:r>
      <w:r w:rsidR="00146E79">
        <w:t>lægemiddel</w:t>
      </w:r>
      <w:r>
        <w:t xml:space="preserve">komiteer og </w:t>
      </w:r>
      <w:r w:rsidR="0058651B">
        <w:t>Lægemiddelstyrelsen</w:t>
      </w:r>
      <w:r>
        <w:t xml:space="preserve"> begge vurderer de indberetninger, der foretages efter forordningens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t xml:space="preserve"> </w:t>
      </w:r>
      <w:r>
        <w:t xml:space="preserve">52-54 (alvorlige overtrædelser, uventede hændelser og nødsikkerhedsforanstaltninger). Det vurderes relevant, at de </w:t>
      </w:r>
      <w:r w:rsidR="00146E79">
        <w:t>videnskabs</w:t>
      </w:r>
      <w:r>
        <w:t xml:space="preserve">etiske </w:t>
      </w:r>
      <w:r w:rsidR="00686793">
        <w:t>lægemiddel</w:t>
      </w:r>
      <w:r>
        <w:t xml:space="preserve">komiteer tidligt bliver opmærksom på disse hændelser, da indberetningerne kan relatere sig til de forhold komiteerne har vurderet i medfør </w:t>
      </w:r>
      <w:r w:rsidR="00B2330C">
        <w:t>vurderingsrapport</w:t>
      </w:r>
      <w:r w:rsidR="001742A2">
        <w:t>ens</w:t>
      </w:r>
      <w:r w:rsidR="00B2330C">
        <w:t xml:space="preserve"> del</w:t>
      </w:r>
      <w:r>
        <w:t xml:space="preserve"> II, jf. artikel. 7, fx investigators kvalifikationer, erstatningsmæssige forhold, m</w:t>
      </w:r>
      <w:r w:rsidR="00094421">
        <w:t>.</w:t>
      </w:r>
      <w:r>
        <w:t xml:space="preserve">v. Såfremt komiteen finder, at der på baggrund af indberetninger efter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t xml:space="preserve"> </w:t>
      </w:r>
      <w:r>
        <w:t xml:space="preserve">52- 54 kan være grundlag for at overveje en korrigerende foranstaltning, jf.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t xml:space="preserve"> </w:t>
      </w:r>
      <w:r>
        <w:t xml:space="preserve">77, tager komiteen kontakt til </w:t>
      </w:r>
      <w:r w:rsidR="0058651B">
        <w:t>Lægemiddelstyrelsen</w:t>
      </w:r>
      <w:r w:rsidR="00CA6F73">
        <w:t xml:space="preserve">, jf. lovforslagets § </w:t>
      </w:r>
      <w:r w:rsidR="001742A2">
        <w:t>9</w:t>
      </w:r>
      <w:r w:rsidR="00CA6F73">
        <w:t>, stk. 1</w:t>
      </w:r>
      <w:r>
        <w:t>.</w:t>
      </w:r>
    </w:p>
    <w:p w14:paraId="5C9E1D5F" w14:textId="77777777" w:rsidR="0067248E" w:rsidRDefault="0067248E" w:rsidP="00D200AD">
      <w:pPr>
        <w:rPr>
          <w:rFonts w:eastAsia="Times New Roman" w:cs="Times New Roman"/>
          <w:b/>
          <w:color w:val="000000"/>
          <w:lang w:eastAsia="da-DK"/>
        </w:rPr>
      </w:pPr>
    </w:p>
    <w:p w14:paraId="38D9AE0A" w14:textId="77777777" w:rsidR="000C681D" w:rsidRDefault="000C681D" w:rsidP="000C681D">
      <w:pPr>
        <w:rPr>
          <w:rFonts w:eastAsia="Times New Roman" w:cs="Times New Roman"/>
          <w:iCs/>
          <w:color w:val="000000"/>
          <w:lang w:eastAsia="da-DK"/>
        </w:rPr>
      </w:pPr>
      <w:r>
        <w:rPr>
          <w:rFonts w:eastAsia="Times New Roman" w:cs="Times New Roman"/>
          <w:iCs/>
          <w:color w:val="000000"/>
          <w:lang w:eastAsia="da-DK"/>
        </w:rPr>
        <w:t xml:space="preserve">Kommissionen kan i medfør af forordningens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Pr>
          <w:rFonts w:eastAsia="Times New Roman" w:cs="Times New Roman"/>
          <w:iCs/>
          <w:color w:val="000000"/>
          <w:lang w:eastAsia="da-DK"/>
        </w:rPr>
        <w:t xml:space="preserve"> </w:t>
      </w:r>
      <w:r>
        <w:rPr>
          <w:rFonts w:eastAsia="Times New Roman" w:cs="Times New Roman"/>
          <w:iCs/>
          <w:color w:val="000000"/>
          <w:lang w:eastAsia="da-DK"/>
        </w:rPr>
        <w:t xml:space="preserve">45 og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Pr>
          <w:rFonts w:eastAsia="Times New Roman" w:cs="Times New Roman"/>
          <w:iCs/>
          <w:color w:val="000000"/>
          <w:lang w:eastAsia="da-DK"/>
        </w:rPr>
        <w:t xml:space="preserve"> </w:t>
      </w:r>
      <w:r>
        <w:rPr>
          <w:rFonts w:eastAsia="Times New Roman" w:cs="Times New Roman"/>
          <w:iCs/>
          <w:color w:val="000000"/>
          <w:lang w:eastAsia="da-DK"/>
        </w:rPr>
        <w:t xml:space="preserve">89 udstede delegerede retsakter </w:t>
      </w:r>
      <w:r w:rsidR="00097086">
        <w:rPr>
          <w:rFonts w:eastAsia="Times New Roman" w:cs="Times New Roman"/>
          <w:iCs/>
          <w:color w:val="000000"/>
          <w:lang w:eastAsia="da-DK"/>
        </w:rPr>
        <w:t>om</w:t>
      </w:r>
      <w:r>
        <w:rPr>
          <w:rFonts w:eastAsia="Times New Roman" w:cs="Times New Roman"/>
          <w:iCs/>
          <w:color w:val="000000"/>
          <w:lang w:eastAsia="da-DK"/>
        </w:rPr>
        <w:t xml:space="preserve"> regler om indberetning i overensstemmelse med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Pr>
          <w:rFonts w:eastAsia="Times New Roman" w:cs="Times New Roman"/>
          <w:iCs/>
          <w:color w:val="000000"/>
          <w:lang w:eastAsia="da-DK"/>
        </w:rPr>
        <w:t xml:space="preserve"> </w:t>
      </w:r>
      <w:r>
        <w:rPr>
          <w:rFonts w:eastAsia="Times New Roman" w:cs="Times New Roman"/>
          <w:iCs/>
          <w:color w:val="000000"/>
          <w:lang w:eastAsia="da-DK"/>
        </w:rPr>
        <w:t>4</w:t>
      </w:r>
      <w:r w:rsidR="00BE5BFA">
        <w:rPr>
          <w:rFonts w:eastAsia="Times New Roman" w:cs="Times New Roman"/>
          <w:iCs/>
          <w:color w:val="000000"/>
          <w:lang w:eastAsia="da-DK"/>
        </w:rPr>
        <w:t>1-44</w:t>
      </w:r>
      <w:r>
        <w:rPr>
          <w:rFonts w:eastAsia="Times New Roman" w:cs="Times New Roman"/>
          <w:iCs/>
          <w:color w:val="000000"/>
          <w:lang w:eastAsia="da-DK"/>
        </w:rPr>
        <w:t xml:space="preserve">. Det foreslås derfor med </w:t>
      </w:r>
      <w:r w:rsidRPr="009F5CDF">
        <w:rPr>
          <w:rFonts w:eastAsia="Times New Roman" w:cs="Times New Roman"/>
          <w:i/>
          <w:iCs/>
          <w:color w:val="000000"/>
          <w:lang w:eastAsia="da-DK"/>
        </w:rPr>
        <w:t xml:space="preserve">§ </w:t>
      </w:r>
      <w:r w:rsidR="001742A2">
        <w:rPr>
          <w:rFonts w:eastAsia="Times New Roman" w:cs="Times New Roman"/>
          <w:i/>
          <w:iCs/>
          <w:color w:val="000000"/>
          <w:lang w:eastAsia="da-DK"/>
        </w:rPr>
        <w:t>16, stk. 3</w:t>
      </w:r>
      <w:r>
        <w:rPr>
          <w:rFonts w:eastAsia="Times New Roman" w:cs="Times New Roman"/>
          <w:iCs/>
          <w:color w:val="000000"/>
          <w:lang w:eastAsia="da-DK"/>
        </w:rPr>
        <w:t>, at ministeren bemyndiges til at udstede nærmere regler, om</w:t>
      </w:r>
      <w:r w:rsidR="001742A2">
        <w:rPr>
          <w:rFonts w:eastAsia="Times New Roman" w:cs="Times New Roman"/>
          <w:iCs/>
          <w:color w:val="000000"/>
          <w:lang w:eastAsia="da-DK"/>
        </w:rPr>
        <w:t xml:space="preserve"> hvilke andre forpligtelser </w:t>
      </w:r>
      <w:r w:rsidR="00097086">
        <w:rPr>
          <w:rFonts w:eastAsia="Times New Roman" w:cs="Times New Roman"/>
          <w:iCs/>
          <w:color w:val="000000"/>
          <w:lang w:eastAsia="da-DK"/>
        </w:rPr>
        <w:t>om</w:t>
      </w:r>
      <w:r w:rsidR="001742A2">
        <w:rPr>
          <w:rFonts w:eastAsia="Times New Roman" w:cs="Times New Roman"/>
          <w:iCs/>
          <w:color w:val="000000"/>
          <w:lang w:eastAsia="da-DK"/>
        </w:rPr>
        <w:t xml:space="preserve"> sikkerhedsindberetninger, som Lægemiddelstyrelsen eller den videnskabsetiske lægemiddelkomité skal sikre overholdelse af</w:t>
      </w:r>
      <w:r>
        <w:rPr>
          <w:rFonts w:eastAsia="Times New Roman" w:cs="Times New Roman"/>
          <w:iCs/>
          <w:color w:val="000000"/>
          <w:lang w:eastAsia="da-DK"/>
        </w:rPr>
        <w:t xml:space="preserve">. </w:t>
      </w:r>
    </w:p>
    <w:p w14:paraId="11F67806" w14:textId="77777777" w:rsidR="00556D65" w:rsidRPr="00F205A8" w:rsidRDefault="00556D65" w:rsidP="00F205A8">
      <w:pPr>
        <w:rPr>
          <w:lang w:eastAsia="da-DK"/>
        </w:rPr>
      </w:pPr>
    </w:p>
    <w:p w14:paraId="37672F1C" w14:textId="77777777" w:rsidR="009C24A6" w:rsidRDefault="009C24A6" w:rsidP="009D0EAF">
      <w:pPr>
        <w:pStyle w:val="Overskrift2"/>
        <w:jc w:val="left"/>
        <w:rPr>
          <w:rFonts w:eastAsia="Times New Roman" w:cs="Times New Roman"/>
          <w:lang w:eastAsia="da-DK"/>
        </w:rPr>
      </w:pPr>
      <w:r w:rsidRPr="00577043">
        <w:rPr>
          <w:rFonts w:eastAsia="Times New Roman" w:cs="Times New Roman"/>
          <w:lang w:eastAsia="da-DK"/>
        </w:rPr>
        <w:t xml:space="preserve">Til § </w:t>
      </w:r>
      <w:r w:rsidR="00A040B1">
        <w:rPr>
          <w:rFonts w:eastAsia="Times New Roman" w:cs="Times New Roman"/>
          <w:lang w:eastAsia="da-DK"/>
        </w:rPr>
        <w:t>17</w:t>
      </w:r>
      <w:r w:rsidR="005E0C86" w:rsidRPr="00577043">
        <w:rPr>
          <w:rFonts w:eastAsia="Times New Roman" w:cs="Times New Roman"/>
          <w:lang w:eastAsia="da-DK"/>
        </w:rPr>
        <w:t xml:space="preserve"> [</w:t>
      </w:r>
      <w:r w:rsidR="00C164B9">
        <w:rPr>
          <w:rFonts w:eastAsia="Times New Roman" w:cs="Times New Roman"/>
          <w:lang w:eastAsia="da-DK"/>
        </w:rPr>
        <w:t>Inspektioner af</w:t>
      </w:r>
      <w:r w:rsidR="00297D1D" w:rsidRPr="00577043">
        <w:rPr>
          <w:rFonts w:eastAsia="Times New Roman" w:cs="Times New Roman"/>
          <w:lang w:eastAsia="da-DK"/>
        </w:rPr>
        <w:t xml:space="preserve"> kliniske forsøg på mennesker</w:t>
      </w:r>
      <w:r w:rsidR="005E0C86" w:rsidRPr="00577043">
        <w:rPr>
          <w:rFonts w:eastAsia="Times New Roman" w:cs="Times New Roman"/>
          <w:lang w:eastAsia="da-DK"/>
        </w:rPr>
        <w:t>]</w:t>
      </w:r>
    </w:p>
    <w:p w14:paraId="0C87101B" w14:textId="77777777" w:rsidR="001F0B24" w:rsidRDefault="00FD707F" w:rsidP="00267856">
      <w:pPr>
        <w:rPr>
          <w:rFonts w:eastAsia="Times New Roman" w:cs="Times New Roman"/>
          <w:color w:val="000000"/>
          <w:lang w:eastAsia="da-DK"/>
        </w:rPr>
      </w:pPr>
      <w:r>
        <w:rPr>
          <w:rFonts w:eastAsia="Times New Roman" w:cs="Times New Roman"/>
          <w:iCs/>
          <w:color w:val="000000"/>
          <w:lang w:eastAsia="da-DK"/>
        </w:rPr>
        <w:t xml:space="preserve">Den foreslåede </w:t>
      </w:r>
      <w:r w:rsidR="00580249">
        <w:rPr>
          <w:rFonts w:eastAsia="Times New Roman" w:cs="Times New Roman"/>
          <w:iCs/>
          <w:color w:val="000000"/>
          <w:lang w:eastAsia="da-DK"/>
        </w:rPr>
        <w:t xml:space="preserve">§ </w:t>
      </w:r>
      <w:r w:rsidR="00A040B1">
        <w:rPr>
          <w:rFonts w:eastAsia="Times New Roman" w:cs="Times New Roman"/>
          <w:iCs/>
          <w:color w:val="000000"/>
          <w:lang w:eastAsia="da-DK"/>
        </w:rPr>
        <w:t>17</w:t>
      </w:r>
      <w:r w:rsidR="00EC4F90">
        <w:rPr>
          <w:rFonts w:eastAsia="Times New Roman" w:cs="Times New Roman"/>
          <w:iCs/>
          <w:color w:val="000000"/>
          <w:lang w:eastAsia="da-DK"/>
        </w:rPr>
        <w:t>, stk. 1 og 2,</w:t>
      </w:r>
      <w:r w:rsidR="009C24A6" w:rsidRPr="00577043">
        <w:rPr>
          <w:rFonts w:eastAsia="Times New Roman" w:cs="Times New Roman"/>
          <w:iCs/>
          <w:color w:val="000000"/>
          <w:lang w:eastAsia="da-DK"/>
        </w:rPr>
        <w:t xml:space="preserve"> er en videreførelse af lægemiddellovens § 90, stk. 2 og 3</w:t>
      </w:r>
      <w:r w:rsidR="00BF1E7F">
        <w:rPr>
          <w:rFonts w:eastAsia="Times New Roman" w:cs="Times New Roman"/>
          <w:iCs/>
          <w:color w:val="000000"/>
          <w:lang w:eastAsia="da-DK"/>
        </w:rPr>
        <w:t>, hvorefter Lægemiddelstyrelsen kan inspicere enhver virksomhed m.v., der udfører eller har udført et klinisk forsøg med lægemidler</w:t>
      </w:r>
      <w:r w:rsidR="009C24A6" w:rsidRPr="00577043">
        <w:rPr>
          <w:rFonts w:eastAsia="Times New Roman" w:cs="Times New Roman"/>
          <w:iCs/>
          <w:color w:val="000000"/>
          <w:lang w:eastAsia="da-DK"/>
        </w:rPr>
        <w:t>.</w:t>
      </w:r>
      <w:r w:rsidR="00BF1E7F">
        <w:rPr>
          <w:rFonts w:eastAsia="Times New Roman" w:cs="Times New Roman"/>
          <w:color w:val="000000"/>
          <w:lang w:eastAsia="da-DK"/>
        </w:rPr>
        <w:t xml:space="preserve"> </w:t>
      </w:r>
      <w:r w:rsidR="00EC4F90">
        <w:rPr>
          <w:rFonts w:eastAsia="Times New Roman" w:cs="Times New Roman"/>
          <w:color w:val="000000"/>
          <w:lang w:eastAsia="da-DK"/>
        </w:rPr>
        <w:t>Den foreslåede bestemmelse</w:t>
      </w:r>
      <w:r w:rsidR="006754FC">
        <w:rPr>
          <w:rFonts w:eastAsia="Times New Roman" w:cs="Times New Roman"/>
          <w:color w:val="000000"/>
          <w:lang w:eastAsia="da-DK"/>
        </w:rPr>
        <w:t xml:space="preserve"> </w:t>
      </w:r>
      <w:r w:rsidR="009C24A6" w:rsidRPr="00577043">
        <w:rPr>
          <w:rFonts w:eastAsia="Times New Roman" w:cs="Times New Roman"/>
          <w:color w:val="000000"/>
          <w:lang w:eastAsia="da-DK"/>
        </w:rPr>
        <w:t xml:space="preserve">sikrer, at </w:t>
      </w:r>
      <w:r w:rsidR="0058651B">
        <w:rPr>
          <w:rFonts w:eastAsia="Times New Roman" w:cs="Times New Roman"/>
          <w:color w:val="000000"/>
          <w:lang w:eastAsia="da-DK"/>
        </w:rPr>
        <w:t>Lægemiddelstyrelsen</w:t>
      </w:r>
      <w:r w:rsidR="009C24A6" w:rsidRPr="00577043">
        <w:rPr>
          <w:rFonts w:eastAsia="Times New Roman" w:cs="Times New Roman"/>
          <w:color w:val="000000"/>
          <w:lang w:eastAsia="da-DK"/>
        </w:rPr>
        <w:t xml:space="preserve">s inspektører kan foretage de nødvendige </w:t>
      </w:r>
      <w:r w:rsidR="00AD484F">
        <w:rPr>
          <w:rFonts w:eastAsia="Times New Roman" w:cs="Times New Roman"/>
          <w:color w:val="000000"/>
          <w:lang w:eastAsia="da-DK"/>
        </w:rPr>
        <w:t>inspektioner af</w:t>
      </w:r>
      <w:r w:rsidR="009C24A6" w:rsidRPr="00577043">
        <w:rPr>
          <w:rFonts w:eastAsia="Times New Roman" w:cs="Times New Roman"/>
          <w:color w:val="000000"/>
          <w:lang w:eastAsia="da-DK"/>
        </w:rPr>
        <w:t xml:space="preserve"> kliniske forsøg</w:t>
      </w:r>
      <w:r w:rsidR="00966495" w:rsidRPr="00577043">
        <w:rPr>
          <w:rFonts w:eastAsia="Times New Roman" w:cs="Times New Roman"/>
          <w:color w:val="000000"/>
          <w:lang w:eastAsia="da-DK"/>
        </w:rPr>
        <w:t xml:space="preserve"> i </w:t>
      </w:r>
      <w:r w:rsidR="00822658" w:rsidRPr="00577043">
        <w:rPr>
          <w:rFonts w:eastAsia="Times New Roman" w:cs="Times New Roman"/>
          <w:color w:val="000000"/>
          <w:lang w:eastAsia="da-DK"/>
        </w:rPr>
        <w:t xml:space="preserve">Danmark </w:t>
      </w:r>
      <w:r w:rsidR="00D3367C">
        <w:rPr>
          <w:rFonts w:eastAsia="Times New Roman" w:cs="Times New Roman"/>
          <w:color w:val="000000"/>
          <w:lang w:eastAsia="da-DK"/>
        </w:rPr>
        <w:t xml:space="preserve">i </w:t>
      </w:r>
      <w:r w:rsidR="00966495" w:rsidRPr="00577043">
        <w:rPr>
          <w:rFonts w:eastAsia="Times New Roman" w:cs="Times New Roman"/>
          <w:color w:val="000000"/>
          <w:lang w:eastAsia="da-DK"/>
        </w:rPr>
        <w:t xml:space="preserve">overensstemmelse med forordningens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sidRPr="00577043">
        <w:rPr>
          <w:rFonts w:eastAsia="Times New Roman" w:cs="Times New Roman"/>
          <w:color w:val="000000"/>
          <w:lang w:eastAsia="da-DK"/>
        </w:rPr>
        <w:t xml:space="preserve"> </w:t>
      </w:r>
      <w:r w:rsidR="00966495" w:rsidRPr="00577043">
        <w:rPr>
          <w:rFonts w:eastAsia="Times New Roman" w:cs="Times New Roman"/>
          <w:color w:val="000000"/>
          <w:lang w:eastAsia="da-DK"/>
        </w:rPr>
        <w:t>78</w:t>
      </w:r>
      <w:r w:rsidR="009C24A6" w:rsidRPr="00577043">
        <w:rPr>
          <w:rFonts w:eastAsia="Times New Roman" w:cs="Times New Roman"/>
          <w:color w:val="000000"/>
          <w:lang w:eastAsia="da-DK"/>
        </w:rPr>
        <w:t xml:space="preserve">. </w:t>
      </w:r>
    </w:p>
    <w:p w14:paraId="34818180" w14:textId="77777777" w:rsidR="001F0B24" w:rsidRDefault="001F0B24" w:rsidP="00267856">
      <w:pPr>
        <w:rPr>
          <w:rFonts w:eastAsia="Times New Roman" w:cs="Times New Roman"/>
          <w:color w:val="000000"/>
          <w:lang w:eastAsia="da-DK"/>
        </w:rPr>
      </w:pPr>
    </w:p>
    <w:p w14:paraId="6751CCFC" w14:textId="77777777" w:rsidR="00267856" w:rsidRPr="00577043" w:rsidRDefault="004E48F8" w:rsidP="00267856">
      <w:pPr>
        <w:rPr>
          <w:rFonts w:eastAsia="Times New Roman" w:cs="Times New Roman"/>
          <w:color w:val="000000"/>
          <w:lang w:eastAsia="da-DK"/>
        </w:rPr>
      </w:pPr>
      <w:r w:rsidRPr="00577043">
        <w:rPr>
          <w:rFonts w:eastAsia="Times New Roman" w:cs="Times New Roman"/>
          <w:color w:val="000000"/>
          <w:lang w:eastAsia="da-DK"/>
        </w:rPr>
        <w:t xml:space="preserve">Det vil fortsat være </w:t>
      </w:r>
      <w:r w:rsidR="0058651B">
        <w:rPr>
          <w:rFonts w:eastAsia="Times New Roman" w:cs="Times New Roman"/>
          <w:color w:val="000000"/>
          <w:lang w:eastAsia="da-DK"/>
        </w:rPr>
        <w:t>Lægemiddelstyrelsen</w:t>
      </w:r>
      <w:r w:rsidRPr="00577043">
        <w:rPr>
          <w:rFonts w:eastAsia="Times New Roman" w:cs="Times New Roman"/>
          <w:color w:val="000000"/>
          <w:lang w:eastAsia="da-DK"/>
        </w:rPr>
        <w:t>, der som hovedregel varetager inspektioner, men den kompetente videnskabsetiske lægemiddelkomité inddrages</w:t>
      </w:r>
      <w:r w:rsidR="00267856" w:rsidRPr="00577043">
        <w:rPr>
          <w:rFonts w:eastAsia="Times New Roman" w:cs="Times New Roman"/>
          <w:color w:val="000000"/>
          <w:lang w:eastAsia="da-DK"/>
        </w:rPr>
        <w:t xml:space="preserve"> i </w:t>
      </w:r>
      <w:r w:rsidR="00AD484F">
        <w:rPr>
          <w:rFonts w:eastAsia="Times New Roman" w:cs="Times New Roman"/>
          <w:color w:val="000000"/>
          <w:lang w:eastAsia="da-DK"/>
        </w:rPr>
        <w:t>inspektionen</w:t>
      </w:r>
      <w:r w:rsidRPr="00577043">
        <w:rPr>
          <w:rFonts w:eastAsia="Times New Roman" w:cs="Times New Roman"/>
          <w:color w:val="000000"/>
          <w:lang w:eastAsia="da-DK"/>
        </w:rPr>
        <w:t xml:space="preserve">, når </w:t>
      </w:r>
      <w:r w:rsidR="0058651B">
        <w:rPr>
          <w:rFonts w:eastAsia="Times New Roman" w:cs="Times New Roman"/>
          <w:color w:val="000000"/>
          <w:lang w:eastAsia="da-DK"/>
        </w:rPr>
        <w:t>Lægemiddelstyrelsen</w:t>
      </w:r>
      <w:r w:rsidRPr="00577043">
        <w:rPr>
          <w:rFonts w:eastAsia="Times New Roman" w:cs="Times New Roman"/>
          <w:color w:val="000000"/>
          <w:lang w:eastAsia="da-DK"/>
        </w:rPr>
        <w:t xml:space="preserve"> og komiteen vurderer, </w:t>
      </w:r>
      <w:r w:rsidR="00297D1D" w:rsidRPr="00577043">
        <w:rPr>
          <w:rFonts w:eastAsia="Times New Roman" w:cs="Times New Roman"/>
          <w:color w:val="000000"/>
          <w:lang w:eastAsia="da-DK"/>
        </w:rPr>
        <w:t xml:space="preserve">at der </w:t>
      </w:r>
      <w:r w:rsidR="00267856" w:rsidRPr="00577043">
        <w:rPr>
          <w:rFonts w:eastAsia="Times New Roman" w:cs="Times New Roman"/>
          <w:color w:val="000000"/>
          <w:lang w:eastAsia="da-DK"/>
        </w:rPr>
        <w:t xml:space="preserve">er behov for vurdering af videnskabsetiske aspekter. Det kan fx være i tilfælde af observationer på inspektionsstedet, der vedrører overtrædelse af forordningens og denne lovs regler om samtykke, herunder stedfortrædende samtykke, jf. forordningens kapitel V og lovens kapitel 2. I sådanne tilfælde kan </w:t>
      </w:r>
      <w:r w:rsidR="0058651B">
        <w:rPr>
          <w:rFonts w:eastAsia="Times New Roman" w:cs="Times New Roman"/>
          <w:color w:val="000000"/>
          <w:lang w:eastAsia="da-DK"/>
        </w:rPr>
        <w:t>Lægemiddelstyrelsen</w:t>
      </w:r>
      <w:r w:rsidR="00267856" w:rsidRPr="00577043">
        <w:rPr>
          <w:rFonts w:eastAsia="Times New Roman" w:cs="Times New Roman"/>
          <w:color w:val="000000"/>
          <w:lang w:eastAsia="da-DK"/>
        </w:rPr>
        <w:t>s inspektører bede den videnskabsetiske lægemiddelkomite, der har truffet afgørelse vedrørende det pågældende forsøg, om en udtalelse om observationerne ved inspektionen giver anledning til bemærkninger. Den videnskabsetiske lægemiddelkomité kan vurdere, om der er sket en overtrædelse af samtykkebestemmelserne, graden af overtrædelsen og evt. foreslå sanktioner eller reaktioner på overtrædelsen, jf. i øvrigt lovforslagets kapitel 11 og forordningens artikel 77.</w:t>
      </w:r>
      <w:r w:rsidR="00966495" w:rsidRPr="00577043">
        <w:rPr>
          <w:rFonts w:eastAsia="Times New Roman" w:cs="Times New Roman"/>
          <w:color w:val="000000"/>
          <w:lang w:eastAsia="da-DK"/>
        </w:rPr>
        <w:t xml:space="preserve"> </w:t>
      </w:r>
      <w:r w:rsidR="00966495" w:rsidRPr="00577043">
        <w:rPr>
          <w:rFonts w:eastAsia="Times New Roman" w:cs="Times New Roman"/>
          <w:bCs/>
          <w:color w:val="000000"/>
          <w:lang w:eastAsia="da-DK"/>
        </w:rPr>
        <w:t xml:space="preserve">De videnskabsetiske lægemiddelkomiteer fastsætter sammen med </w:t>
      </w:r>
      <w:r w:rsidR="0058651B">
        <w:rPr>
          <w:rFonts w:eastAsia="Times New Roman" w:cs="Times New Roman"/>
          <w:bCs/>
          <w:color w:val="000000"/>
          <w:lang w:eastAsia="da-DK"/>
        </w:rPr>
        <w:t>Lægemiddelstyrelsen</w:t>
      </w:r>
      <w:r w:rsidR="00966495" w:rsidRPr="00577043">
        <w:rPr>
          <w:rFonts w:eastAsia="Times New Roman" w:cs="Times New Roman"/>
          <w:bCs/>
          <w:color w:val="000000"/>
          <w:lang w:eastAsia="da-DK"/>
        </w:rPr>
        <w:t xml:space="preserve"> kriterier for, hvilke forhold under en inspektion, som en komité bør inddrages i vurderingen af.</w:t>
      </w:r>
    </w:p>
    <w:p w14:paraId="4831D64F" w14:textId="77777777" w:rsidR="00C02D38" w:rsidRDefault="00C02D38" w:rsidP="00267856">
      <w:pPr>
        <w:rPr>
          <w:rFonts w:eastAsia="Times New Roman" w:cs="Times New Roman"/>
          <w:color w:val="000000"/>
          <w:lang w:eastAsia="da-DK"/>
        </w:rPr>
      </w:pPr>
    </w:p>
    <w:p w14:paraId="3AF76AB8" w14:textId="77777777" w:rsidR="00347BCF" w:rsidRDefault="00C02D38" w:rsidP="005E007D">
      <w:pPr>
        <w:rPr>
          <w:rFonts w:eastAsia="Times New Roman" w:cs="Times New Roman"/>
          <w:color w:val="000000"/>
          <w:lang w:eastAsia="da-DK"/>
        </w:rPr>
      </w:pPr>
      <w:r>
        <w:rPr>
          <w:rFonts w:eastAsia="Times New Roman" w:cs="Times New Roman"/>
          <w:color w:val="000000"/>
          <w:lang w:eastAsia="da-DK"/>
        </w:rPr>
        <w:t xml:space="preserve">Hvis </w:t>
      </w:r>
      <w:r w:rsidR="00347BCF">
        <w:rPr>
          <w:rFonts w:eastAsia="Times New Roman" w:cs="Times New Roman"/>
          <w:color w:val="000000"/>
          <w:lang w:eastAsia="da-DK"/>
        </w:rPr>
        <w:t>Lægemiddelstyrelsen eller den videnskabsetiske lægemiddelkomité</w:t>
      </w:r>
      <w:r w:rsidR="006754FC">
        <w:rPr>
          <w:rFonts w:eastAsia="Times New Roman" w:cs="Times New Roman"/>
          <w:color w:val="000000"/>
          <w:lang w:eastAsia="da-DK"/>
        </w:rPr>
        <w:t xml:space="preserve"> før</w:t>
      </w:r>
      <w:r w:rsidR="00267856" w:rsidRPr="00577043">
        <w:rPr>
          <w:rFonts w:eastAsia="Times New Roman" w:cs="Times New Roman"/>
          <w:color w:val="000000"/>
          <w:lang w:eastAsia="da-DK"/>
        </w:rPr>
        <w:t xml:space="preserve"> </w:t>
      </w:r>
      <w:r w:rsidR="006754FC">
        <w:rPr>
          <w:rFonts w:eastAsia="Times New Roman" w:cs="Times New Roman"/>
          <w:color w:val="000000"/>
          <w:lang w:eastAsia="da-DK"/>
        </w:rPr>
        <w:t xml:space="preserve">gennemførelsen af </w:t>
      </w:r>
      <w:r w:rsidR="00267856" w:rsidRPr="00577043">
        <w:rPr>
          <w:rFonts w:eastAsia="Times New Roman" w:cs="Times New Roman"/>
          <w:color w:val="000000"/>
          <w:lang w:eastAsia="da-DK"/>
        </w:rPr>
        <w:t xml:space="preserve">en inspektion vurderes, at der er behov for, at den videnskabsetiske lægemiddelkomite deltager i inspektionen, kan en repræsentant for den pågældende komité deltage i inspektionen på det konkrete forsøgssted, jf. forslagets § </w:t>
      </w:r>
      <w:r w:rsidR="00A040B1">
        <w:rPr>
          <w:rFonts w:eastAsia="Times New Roman" w:cs="Times New Roman"/>
          <w:color w:val="000000"/>
          <w:lang w:eastAsia="da-DK"/>
        </w:rPr>
        <w:t>17</w:t>
      </w:r>
      <w:r w:rsidR="00267856" w:rsidRPr="00577043">
        <w:rPr>
          <w:rFonts w:eastAsia="Times New Roman" w:cs="Times New Roman"/>
          <w:color w:val="000000"/>
          <w:lang w:eastAsia="da-DK"/>
        </w:rPr>
        <w:t xml:space="preserve">, stk. </w:t>
      </w:r>
      <w:r w:rsidR="00316D18">
        <w:rPr>
          <w:rFonts w:eastAsia="Times New Roman" w:cs="Times New Roman"/>
          <w:color w:val="000000"/>
          <w:lang w:eastAsia="da-DK"/>
        </w:rPr>
        <w:t>3</w:t>
      </w:r>
      <w:r w:rsidR="00267856" w:rsidRPr="00577043">
        <w:rPr>
          <w:rFonts w:eastAsia="Times New Roman" w:cs="Times New Roman"/>
          <w:color w:val="000000"/>
          <w:lang w:eastAsia="da-DK"/>
        </w:rPr>
        <w:t xml:space="preserve">, </w:t>
      </w:r>
      <w:r w:rsidR="00DF4B09">
        <w:rPr>
          <w:rFonts w:eastAsia="Times New Roman" w:cs="Times New Roman"/>
          <w:color w:val="000000"/>
          <w:lang w:eastAsia="da-DK"/>
        </w:rPr>
        <w:t>1</w:t>
      </w:r>
      <w:r w:rsidR="00267856" w:rsidRPr="00577043">
        <w:rPr>
          <w:rFonts w:eastAsia="Times New Roman" w:cs="Times New Roman"/>
          <w:color w:val="000000"/>
          <w:lang w:eastAsia="da-DK"/>
        </w:rPr>
        <w:t xml:space="preserve">. pkt. </w:t>
      </w:r>
    </w:p>
    <w:p w14:paraId="40C5DC67" w14:textId="77777777" w:rsidR="00347BCF" w:rsidRDefault="00347BCF" w:rsidP="005E007D">
      <w:pPr>
        <w:rPr>
          <w:rFonts w:eastAsia="Times New Roman" w:cs="Times New Roman"/>
          <w:color w:val="000000"/>
          <w:lang w:eastAsia="da-DK"/>
        </w:rPr>
      </w:pPr>
    </w:p>
    <w:p w14:paraId="01A520CE" w14:textId="77777777" w:rsidR="005E007D" w:rsidRDefault="00267856" w:rsidP="005E007D">
      <w:pPr>
        <w:rPr>
          <w:rFonts w:eastAsia="Times New Roman" w:cs="Times New Roman"/>
          <w:color w:val="000000"/>
          <w:lang w:eastAsia="da-DK"/>
        </w:rPr>
      </w:pPr>
      <w:r w:rsidRPr="00577043">
        <w:rPr>
          <w:rFonts w:eastAsia="Times New Roman" w:cs="Times New Roman"/>
          <w:color w:val="000000"/>
          <w:lang w:eastAsia="da-DK"/>
        </w:rPr>
        <w:t xml:space="preserve">I det omfang, komitéen deltager i inspektionen på det konkrete forsøgssted, finder lovforslagets § </w:t>
      </w:r>
      <w:r w:rsidR="00A040B1">
        <w:rPr>
          <w:rFonts w:eastAsia="Times New Roman" w:cs="Times New Roman"/>
          <w:color w:val="000000"/>
          <w:lang w:eastAsia="da-DK"/>
        </w:rPr>
        <w:t>17</w:t>
      </w:r>
      <w:r w:rsidRPr="00577043">
        <w:rPr>
          <w:rFonts w:eastAsia="Times New Roman" w:cs="Times New Roman"/>
          <w:color w:val="000000"/>
          <w:lang w:eastAsia="da-DK"/>
        </w:rPr>
        <w:t xml:space="preserve">, stk. </w:t>
      </w:r>
      <w:r w:rsidR="00DF4B09">
        <w:rPr>
          <w:rFonts w:eastAsia="Times New Roman" w:cs="Times New Roman"/>
          <w:color w:val="000000"/>
          <w:lang w:eastAsia="da-DK"/>
        </w:rPr>
        <w:t xml:space="preserve">2 </w:t>
      </w:r>
      <w:r w:rsidR="009A6A2F">
        <w:rPr>
          <w:rFonts w:eastAsia="Times New Roman" w:cs="Times New Roman"/>
          <w:color w:val="000000"/>
          <w:lang w:eastAsia="da-DK"/>
        </w:rPr>
        <w:t xml:space="preserve">og </w:t>
      </w:r>
      <w:r w:rsidR="00DF4B09">
        <w:rPr>
          <w:rFonts w:eastAsia="Times New Roman" w:cs="Times New Roman"/>
          <w:color w:val="000000"/>
          <w:lang w:eastAsia="da-DK"/>
        </w:rPr>
        <w:t>3</w:t>
      </w:r>
      <w:r w:rsidR="002F15DF" w:rsidRPr="00577043">
        <w:rPr>
          <w:rFonts w:eastAsia="Times New Roman" w:cs="Times New Roman"/>
          <w:color w:val="000000"/>
          <w:lang w:eastAsia="da-DK"/>
        </w:rPr>
        <w:t>,</w:t>
      </w:r>
      <w:r w:rsidRPr="00577043">
        <w:rPr>
          <w:rFonts w:eastAsia="Times New Roman" w:cs="Times New Roman"/>
          <w:color w:val="000000"/>
          <w:lang w:eastAsia="da-DK"/>
        </w:rPr>
        <w:t xml:space="preserve"> og § </w:t>
      </w:r>
      <w:r w:rsidR="00347BCF">
        <w:rPr>
          <w:rFonts w:eastAsia="Times New Roman" w:cs="Times New Roman"/>
          <w:color w:val="000000"/>
          <w:lang w:eastAsia="da-DK"/>
        </w:rPr>
        <w:t>18, stk. 2,</w:t>
      </w:r>
      <w:r w:rsidRPr="00577043">
        <w:rPr>
          <w:rFonts w:eastAsia="Times New Roman" w:cs="Times New Roman"/>
          <w:color w:val="000000"/>
          <w:lang w:eastAsia="da-DK"/>
        </w:rPr>
        <w:t xml:space="preserve"> også anvendelse for komitéen eller dennes repræsentant(er). </w:t>
      </w:r>
      <w:r w:rsidR="005E007D">
        <w:rPr>
          <w:rFonts w:eastAsia="Times New Roman" w:cs="Times New Roman"/>
          <w:color w:val="000000"/>
          <w:lang w:eastAsia="da-DK"/>
        </w:rPr>
        <w:t xml:space="preserve">Komiteen eller dennes repræsentanter kan således påbyde udlevering af data </w:t>
      </w:r>
      <w:r w:rsidR="00097086">
        <w:rPr>
          <w:rFonts w:eastAsia="Times New Roman" w:cs="Times New Roman"/>
          <w:color w:val="000000"/>
          <w:lang w:eastAsia="da-DK"/>
        </w:rPr>
        <w:t>om</w:t>
      </w:r>
      <w:r w:rsidR="005E007D">
        <w:rPr>
          <w:rFonts w:eastAsia="Times New Roman" w:cs="Times New Roman"/>
          <w:color w:val="000000"/>
          <w:lang w:eastAsia="da-DK"/>
        </w:rPr>
        <w:t xml:space="preserve"> forsøget, som er nødvendige for inspektionen samt indhente oplysninger i patientjournaler.</w:t>
      </w:r>
    </w:p>
    <w:p w14:paraId="36E839F5" w14:textId="77777777" w:rsidR="00267856" w:rsidRPr="00577043" w:rsidRDefault="00267856" w:rsidP="00267856">
      <w:pPr>
        <w:rPr>
          <w:rFonts w:eastAsia="Times New Roman" w:cs="Times New Roman"/>
          <w:color w:val="000000"/>
          <w:lang w:eastAsia="da-DK"/>
        </w:rPr>
      </w:pPr>
    </w:p>
    <w:p w14:paraId="06042B8C" w14:textId="77777777" w:rsidR="009C24A6" w:rsidRPr="00577043" w:rsidRDefault="009C24A6" w:rsidP="00CB2276">
      <w:pPr>
        <w:rPr>
          <w:rFonts w:eastAsia="Times New Roman" w:cs="Times New Roman"/>
          <w:color w:val="000000"/>
          <w:lang w:eastAsia="da-DK"/>
        </w:rPr>
      </w:pPr>
    </w:p>
    <w:p w14:paraId="690759FF" w14:textId="77777777" w:rsidR="001B5A55" w:rsidRPr="00577043" w:rsidRDefault="001B5A55" w:rsidP="001B5A55">
      <w:pPr>
        <w:rPr>
          <w:rFonts w:eastAsia="Times New Roman" w:cs="Times New Roman"/>
          <w:color w:val="000000"/>
          <w:lang w:eastAsia="da-DK"/>
        </w:rPr>
      </w:pPr>
      <w:r w:rsidRPr="00577043">
        <w:rPr>
          <w:rFonts w:eastAsia="Times New Roman" w:cs="Times New Roman"/>
          <w:color w:val="000000"/>
          <w:lang w:eastAsia="da-DK"/>
        </w:rPr>
        <w:t xml:space="preserve">Med </w:t>
      </w:r>
      <w:r w:rsidRPr="002F35FB">
        <w:rPr>
          <w:rFonts w:eastAsia="Times New Roman" w:cs="Times New Roman"/>
          <w:i/>
          <w:color w:val="000000"/>
          <w:lang w:eastAsia="da-DK"/>
        </w:rPr>
        <w:t xml:space="preserve">§ </w:t>
      </w:r>
      <w:r w:rsidR="00CC6C55">
        <w:rPr>
          <w:rFonts w:eastAsia="Times New Roman" w:cs="Times New Roman"/>
          <w:i/>
          <w:color w:val="000000"/>
          <w:lang w:eastAsia="da-DK"/>
        </w:rPr>
        <w:t>17</w:t>
      </w:r>
      <w:r w:rsidRPr="002F35FB">
        <w:rPr>
          <w:rFonts w:eastAsia="Times New Roman" w:cs="Times New Roman"/>
          <w:i/>
          <w:color w:val="000000"/>
          <w:lang w:eastAsia="da-DK"/>
        </w:rPr>
        <w:t xml:space="preserve">, stk. </w:t>
      </w:r>
      <w:r w:rsidR="0087178E">
        <w:rPr>
          <w:rFonts w:eastAsia="Times New Roman" w:cs="Times New Roman"/>
          <w:i/>
          <w:color w:val="000000"/>
          <w:lang w:eastAsia="da-DK"/>
        </w:rPr>
        <w:t>4</w:t>
      </w:r>
      <w:r w:rsidR="00303A37" w:rsidRPr="00577043">
        <w:rPr>
          <w:rFonts w:eastAsia="Times New Roman" w:cs="Times New Roman"/>
          <w:color w:val="000000"/>
          <w:lang w:eastAsia="da-DK"/>
        </w:rPr>
        <w:t>,</w:t>
      </w:r>
      <w:r w:rsidRPr="00577043">
        <w:rPr>
          <w:rFonts w:eastAsia="Times New Roman" w:cs="Times New Roman"/>
          <w:color w:val="000000"/>
          <w:lang w:eastAsia="da-DK"/>
        </w:rPr>
        <w:t xml:space="preserve"> fastsættes en hjemmel til at </w:t>
      </w:r>
      <w:r w:rsidR="00A22EAD" w:rsidRPr="00577043">
        <w:rPr>
          <w:rFonts w:eastAsia="Times New Roman" w:cs="Times New Roman"/>
          <w:color w:val="000000"/>
          <w:lang w:eastAsia="da-DK"/>
        </w:rPr>
        <w:t>sundheds- og ældreministeren</w:t>
      </w:r>
      <w:r w:rsidRPr="00577043">
        <w:rPr>
          <w:rFonts w:eastAsia="Times New Roman" w:cs="Times New Roman"/>
          <w:color w:val="000000"/>
          <w:lang w:eastAsia="da-DK"/>
        </w:rPr>
        <w:t xml:space="preserve"> kan fastsætte nærmere bestemmelser om </w:t>
      </w:r>
      <w:r w:rsidR="0058651B">
        <w:rPr>
          <w:rFonts w:eastAsia="Times New Roman" w:cs="Times New Roman"/>
          <w:color w:val="000000"/>
          <w:lang w:eastAsia="da-DK"/>
        </w:rPr>
        <w:t>Lægemiddelstyrelsen</w:t>
      </w:r>
      <w:r w:rsidRPr="00577043">
        <w:rPr>
          <w:rFonts w:eastAsia="Times New Roman" w:cs="Times New Roman"/>
          <w:color w:val="000000"/>
          <w:lang w:eastAsia="da-DK"/>
        </w:rPr>
        <w:t xml:space="preserve">s </w:t>
      </w:r>
      <w:r w:rsidR="00297D1D" w:rsidRPr="00577043">
        <w:rPr>
          <w:rFonts w:eastAsia="Times New Roman" w:cs="Times New Roman"/>
          <w:color w:val="000000"/>
          <w:lang w:eastAsia="da-DK"/>
        </w:rPr>
        <w:t>gennemførelse af inspektioner</w:t>
      </w:r>
      <w:r w:rsidRPr="00577043">
        <w:rPr>
          <w:rFonts w:eastAsia="Times New Roman" w:cs="Times New Roman"/>
          <w:color w:val="000000"/>
          <w:lang w:eastAsia="da-DK"/>
        </w:rPr>
        <w:t xml:space="preserve">. </w:t>
      </w:r>
      <w:r w:rsidR="00BA1779">
        <w:rPr>
          <w:rFonts w:eastAsia="Times New Roman" w:cs="Times New Roman"/>
          <w:color w:val="000000"/>
          <w:lang w:eastAsia="da-DK"/>
        </w:rPr>
        <w:t xml:space="preserve">Det følger af forordningens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Pr>
          <w:rFonts w:eastAsia="Times New Roman" w:cs="Times New Roman"/>
          <w:color w:val="000000"/>
          <w:lang w:eastAsia="da-DK"/>
        </w:rPr>
        <w:t xml:space="preserve"> </w:t>
      </w:r>
      <w:r w:rsidR="00BA1779">
        <w:rPr>
          <w:rFonts w:eastAsia="Times New Roman" w:cs="Times New Roman"/>
          <w:color w:val="000000"/>
          <w:lang w:eastAsia="da-DK"/>
        </w:rPr>
        <w:t xml:space="preserve"> 78, stk. 7, at Kommissionen ved hjælp af gennemførelsesretsakter fastlægger de nærmere bestemmelser om inspektionsprocedurerne, herunder kravene til inspektørernes kvalifikationer og uddannelse. Den foreslåede § </w:t>
      </w:r>
      <w:r w:rsidR="00CC6C55">
        <w:rPr>
          <w:rFonts w:eastAsia="Times New Roman" w:cs="Times New Roman"/>
          <w:color w:val="000000"/>
          <w:lang w:eastAsia="da-DK"/>
        </w:rPr>
        <w:t>17</w:t>
      </w:r>
      <w:r w:rsidR="00BA1779">
        <w:rPr>
          <w:rFonts w:eastAsia="Times New Roman" w:cs="Times New Roman"/>
          <w:color w:val="000000"/>
          <w:lang w:eastAsia="da-DK"/>
        </w:rPr>
        <w:t xml:space="preserve">, stk. </w:t>
      </w:r>
      <w:r w:rsidR="00CC6C55">
        <w:rPr>
          <w:rFonts w:eastAsia="Times New Roman" w:cs="Times New Roman"/>
          <w:color w:val="000000"/>
          <w:lang w:eastAsia="da-DK"/>
        </w:rPr>
        <w:t>4</w:t>
      </w:r>
      <w:r w:rsidR="00BA1779">
        <w:rPr>
          <w:rFonts w:eastAsia="Times New Roman" w:cs="Times New Roman"/>
          <w:color w:val="000000"/>
          <w:lang w:eastAsia="da-DK"/>
        </w:rPr>
        <w:t xml:space="preserve">, vil således blive benyttet til at fastsætte nærmere bestemmelser om inspektion i det omfang Kommissionen fastsætter gennemførelsesretsakter, som forudsætter national regulering. </w:t>
      </w:r>
    </w:p>
    <w:p w14:paraId="5A14780F" w14:textId="77777777" w:rsidR="00FD707F" w:rsidRPr="00577043" w:rsidRDefault="00FD707F" w:rsidP="00CB2276">
      <w:pPr>
        <w:rPr>
          <w:rFonts w:eastAsia="Times New Roman" w:cs="Times New Roman"/>
          <w:color w:val="000000"/>
          <w:lang w:eastAsia="da-DK"/>
        </w:rPr>
      </w:pPr>
    </w:p>
    <w:p w14:paraId="5E4EAAEB" w14:textId="77777777" w:rsidR="009C24A6" w:rsidRPr="00577043" w:rsidRDefault="009B4972" w:rsidP="00CB2276">
      <w:pPr>
        <w:rPr>
          <w:rFonts w:eastAsia="Times New Roman" w:cs="Times New Roman"/>
          <w:color w:val="000000"/>
          <w:lang w:eastAsia="da-DK"/>
        </w:rPr>
      </w:pPr>
      <w:r w:rsidRPr="00577043">
        <w:rPr>
          <w:rFonts w:eastAsia="Times New Roman" w:cs="Times New Roman"/>
          <w:color w:val="000000"/>
          <w:lang w:eastAsia="da-DK"/>
        </w:rPr>
        <w:t>Der henvises i øvrigt til afsnit 2.3. i de almindelige bemærkninger.</w:t>
      </w:r>
      <w:r w:rsidR="00907BD6">
        <w:rPr>
          <w:rFonts w:eastAsia="Times New Roman" w:cs="Times New Roman"/>
          <w:color w:val="000000"/>
          <w:lang w:eastAsia="da-DK"/>
        </w:rPr>
        <w:t xml:space="preserve">  </w:t>
      </w:r>
    </w:p>
    <w:p w14:paraId="0AFFE08D" w14:textId="77777777" w:rsidR="009B4972" w:rsidRDefault="009B4972" w:rsidP="00CB2276">
      <w:pPr>
        <w:rPr>
          <w:rFonts w:eastAsia="Times New Roman" w:cs="Times New Roman"/>
          <w:color w:val="000000"/>
          <w:lang w:eastAsia="da-DK"/>
        </w:rPr>
      </w:pPr>
    </w:p>
    <w:p w14:paraId="15563946" w14:textId="77777777" w:rsidR="00F043AE" w:rsidRPr="00577043" w:rsidRDefault="00F043AE" w:rsidP="00CB2276">
      <w:pPr>
        <w:rPr>
          <w:rFonts w:eastAsia="Times New Roman" w:cs="Times New Roman"/>
          <w:color w:val="000000"/>
          <w:lang w:eastAsia="da-DK"/>
        </w:rPr>
      </w:pPr>
    </w:p>
    <w:p w14:paraId="27DFE0D0" w14:textId="77777777" w:rsidR="009C24A6" w:rsidRDefault="009C24A6" w:rsidP="009D0EAF">
      <w:pPr>
        <w:pStyle w:val="Overskrift2"/>
        <w:jc w:val="left"/>
        <w:rPr>
          <w:rFonts w:eastAsia="Times New Roman" w:cs="Times New Roman"/>
          <w:lang w:eastAsia="da-DK"/>
        </w:rPr>
      </w:pPr>
      <w:r w:rsidRPr="00577043">
        <w:rPr>
          <w:rFonts w:eastAsia="Times New Roman" w:cs="Times New Roman"/>
          <w:lang w:eastAsia="da-DK"/>
        </w:rPr>
        <w:t xml:space="preserve">Til § </w:t>
      </w:r>
      <w:r w:rsidR="00CC6C55">
        <w:rPr>
          <w:rFonts w:eastAsia="Times New Roman" w:cs="Times New Roman"/>
          <w:lang w:eastAsia="da-DK"/>
        </w:rPr>
        <w:t>18</w:t>
      </w:r>
      <w:r w:rsidRPr="00577043">
        <w:rPr>
          <w:rFonts w:eastAsia="Times New Roman" w:cs="Times New Roman"/>
          <w:lang w:eastAsia="da-DK"/>
        </w:rPr>
        <w:t xml:space="preserve"> </w:t>
      </w:r>
      <w:r w:rsidR="005E0C86" w:rsidRPr="00577043">
        <w:rPr>
          <w:rFonts w:eastAsia="Times New Roman" w:cs="Times New Roman"/>
          <w:lang w:eastAsia="da-DK"/>
        </w:rPr>
        <w:t>[Inspektørers adgang til oplysninger</w:t>
      </w:r>
      <w:r w:rsidR="001C4D79">
        <w:rPr>
          <w:rFonts w:eastAsia="Times New Roman" w:cs="Times New Roman"/>
          <w:lang w:eastAsia="da-DK"/>
        </w:rPr>
        <w:t xml:space="preserve"> i patientjourn</w:t>
      </w:r>
      <w:r w:rsidR="008E32BA">
        <w:rPr>
          <w:rFonts w:eastAsia="Times New Roman" w:cs="Times New Roman"/>
          <w:lang w:eastAsia="da-DK"/>
        </w:rPr>
        <w:t>a</w:t>
      </w:r>
      <w:r w:rsidR="001C4D79">
        <w:rPr>
          <w:rFonts w:eastAsia="Times New Roman" w:cs="Times New Roman"/>
          <w:lang w:eastAsia="da-DK"/>
        </w:rPr>
        <w:t>l</w:t>
      </w:r>
      <w:r w:rsidR="008E32BA">
        <w:rPr>
          <w:rFonts w:eastAsia="Times New Roman" w:cs="Times New Roman"/>
          <w:lang w:eastAsia="da-DK"/>
        </w:rPr>
        <w:t>er</w:t>
      </w:r>
      <w:r w:rsidR="005E0C86" w:rsidRPr="00577043">
        <w:rPr>
          <w:rFonts w:eastAsia="Times New Roman" w:cs="Times New Roman"/>
          <w:lang w:eastAsia="da-DK"/>
        </w:rPr>
        <w:t>]</w:t>
      </w:r>
      <w:r w:rsidR="00FD79A9">
        <w:rPr>
          <w:rFonts w:eastAsia="Times New Roman" w:cs="Times New Roman"/>
          <w:lang w:eastAsia="da-DK"/>
        </w:rPr>
        <w:t xml:space="preserve"> </w:t>
      </w:r>
    </w:p>
    <w:p w14:paraId="52C04FBF" w14:textId="77777777" w:rsidR="00A16E9B" w:rsidRDefault="00FD79A9" w:rsidP="00CB2276">
      <w:pPr>
        <w:rPr>
          <w:rFonts w:eastAsia="Times New Roman" w:cs="Times New Roman"/>
          <w:color w:val="000000"/>
          <w:lang w:eastAsia="da-DK"/>
        </w:rPr>
      </w:pPr>
      <w:r>
        <w:rPr>
          <w:lang w:eastAsia="da-DK"/>
        </w:rPr>
        <w:t>D</w:t>
      </w:r>
      <w:r w:rsidR="00541039">
        <w:rPr>
          <w:rFonts w:eastAsia="Times New Roman" w:cs="Times New Roman"/>
          <w:color w:val="000000"/>
          <w:lang w:eastAsia="da-DK"/>
        </w:rPr>
        <w:t xml:space="preserve">en foreslåede </w:t>
      </w:r>
      <w:r w:rsidR="00D20F13" w:rsidRPr="00CF1FE8">
        <w:rPr>
          <w:rFonts w:eastAsia="Times New Roman" w:cs="Times New Roman"/>
          <w:i/>
          <w:color w:val="000000"/>
          <w:lang w:eastAsia="da-DK"/>
        </w:rPr>
        <w:t xml:space="preserve">§ </w:t>
      </w:r>
      <w:r w:rsidR="00CC6C55">
        <w:rPr>
          <w:rFonts w:eastAsia="Times New Roman" w:cs="Times New Roman"/>
          <w:i/>
          <w:color w:val="000000"/>
          <w:lang w:eastAsia="da-DK"/>
        </w:rPr>
        <w:t>18</w:t>
      </w:r>
      <w:r w:rsidR="00D20F13" w:rsidRPr="00CF1FE8">
        <w:rPr>
          <w:rFonts w:eastAsia="Times New Roman" w:cs="Times New Roman"/>
          <w:i/>
          <w:color w:val="000000"/>
          <w:lang w:eastAsia="da-DK"/>
        </w:rPr>
        <w:t>, stk. 1,</w:t>
      </w:r>
      <w:r w:rsidR="009C24A6" w:rsidRPr="00577043">
        <w:rPr>
          <w:rFonts w:eastAsia="Times New Roman" w:cs="Times New Roman"/>
          <w:color w:val="000000"/>
          <w:lang w:eastAsia="da-DK"/>
        </w:rPr>
        <w:t xml:space="preserve"> er en videreførelse af lægemiddellovens § 90, stk. 4, og § 90, stk. 5</w:t>
      </w:r>
      <w:r w:rsidR="00541039">
        <w:rPr>
          <w:rFonts w:eastAsia="Times New Roman" w:cs="Times New Roman"/>
          <w:color w:val="000000"/>
          <w:lang w:eastAsia="da-DK"/>
        </w:rPr>
        <w:t xml:space="preserve">. </w:t>
      </w:r>
    </w:p>
    <w:p w14:paraId="36C03777" w14:textId="77777777" w:rsidR="00A16E9B" w:rsidRDefault="00A16E9B" w:rsidP="00CB2276">
      <w:pPr>
        <w:rPr>
          <w:rFonts w:eastAsia="Times New Roman" w:cs="Times New Roman"/>
          <w:color w:val="000000"/>
          <w:lang w:eastAsia="da-DK"/>
        </w:rPr>
      </w:pPr>
    </w:p>
    <w:p w14:paraId="071CAB59" w14:textId="77777777" w:rsidR="00504753" w:rsidRPr="00577043" w:rsidRDefault="00541039" w:rsidP="00CB2276">
      <w:pPr>
        <w:rPr>
          <w:rFonts w:eastAsia="Times New Roman" w:cs="Times New Roman"/>
          <w:color w:val="000000"/>
          <w:lang w:eastAsia="da-DK"/>
        </w:rPr>
      </w:pPr>
      <w:r>
        <w:rPr>
          <w:rFonts w:eastAsia="Times New Roman" w:cs="Times New Roman"/>
          <w:color w:val="000000"/>
          <w:lang w:eastAsia="da-DK"/>
        </w:rPr>
        <w:t xml:space="preserve">I </w:t>
      </w:r>
      <w:r w:rsidRPr="00541039">
        <w:rPr>
          <w:rFonts w:eastAsia="Times New Roman" w:cs="Times New Roman"/>
          <w:i/>
          <w:color w:val="000000"/>
          <w:lang w:eastAsia="da-DK"/>
        </w:rPr>
        <w:t xml:space="preserve">§ </w:t>
      </w:r>
      <w:r w:rsidR="007604EB">
        <w:rPr>
          <w:rFonts w:eastAsia="Times New Roman" w:cs="Times New Roman"/>
          <w:i/>
          <w:color w:val="000000"/>
          <w:lang w:eastAsia="da-DK"/>
        </w:rPr>
        <w:t>18</w:t>
      </w:r>
      <w:r w:rsidRPr="00541039">
        <w:rPr>
          <w:rFonts w:eastAsia="Times New Roman" w:cs="Times New Roman"/>
          <w:i/>
          <w:color w:val="000000"/>
          <w:lang w:eastAsia="da-DK"/>
        </w:rPr>
        <w:t>,</w:t>
      </w:r>
      <w:r w:rsidR="009C24A6" w:rsidRPr="00541039">
        <w:rPr>
          <w:rFonts w:eastAsia="Times New Roman" w:cs="Times New Roman"/>
          <w:i/>
          <w:color w:val="000000"/>
          <w:lang w:eastAsia="da-DK"/>
        </w:rPr>
        <w:t xml:space="preserve"> stk. 2</w:t>
      </w:r>
      <w:r w:rsidR="009C24A6" w:rsidRPr="00577043">
        <w:rPr>
          <w:rFonts w:eastAsia="Times New Roman" w:cs="Times New Roman"/>
          <w:color w:val="000000"/>
          <w:lang w:eastAsia="da-DK"/>
        </w:rPr>
        <w:t>, som viderefører lægemiddellovens § 90, stk. 5</w:t>
      </w:r>
      <w:r w:rsidR="00192F9E" w:rsidRPr="00577043">
        <w:rPr>
          <w:rFonts w:eastAsia="Times New Roman" w:cs="Times New Roman"/>
          <w:color w:val="000000"/>
          <w:lang w:eastAsia="da-DK"/>
        </w:rPr>
        <w:t xml:space="preserve">, </w:t>
      </w:r>
      <w:r w:rsidR="009C24A6" w:rsidRPr="00577043">
        <w:rPr>
          <w:rFonts w:eastAsia="Times New Roman" w:cs="Times New Roman"/>
          <w:color w:val="000000"/>
          <w:lang w:eastAsia="da-DK"/>
        </w:rPr>
        <w:t xml:space="preserve">præciseres det dog, at kontroladgangen indebærer, at inspektørerne har direkte adgang til </w:t>
      </w:r>
      <w:r w:rsidR="00CF5251">
        <w:rPr>
          <w:rFonts w:eastAsia="Times New Roman" w:cs="Times New Roman"/>
          <w:color w:val="000000"/>
          <w:lang w:eastAsia="da-DK"/>
        </w:rPr>
        <w:t xml:space="preserve">at se </w:t>
      </w:r>
      <w:r w:rsidR="00B272B0">
        <w:rPr>
          <w:rFonts w:eastAsia="Times New Roman" w:cs="Times New Roman"/>
          <w:color w:val="000000"/>
          <w:lang w:eastAsia="da-DK"/>
        </w:rPr>
        <w:t xml:space="preserve">journaler, herunder </w:t>
      </w:r>
      <w:r w:rsidR="009C24A6" w:rsidRPr="00577043">
        <w:rPr>
          <w:rFonts w:eastAsia="Times New Roman" w:cs="Times New Roman"/>
          <w:color w:val="000000"/>
          <w:lang w:eastAsia="da-DK"/>
        </w:rPr>
        <w:t xml:space="preserve">elektroniske </w:t>
      </w:r>
      <w:r w:rsidR="00CF5251">
        <w:rPr>
          <w:rFonts w:eastAsia="Times New Roman" w:cs="Times New Roman"/>
          <w:color w:val="000000"/>
          <w:lang w:eastAsia="da-DK"/>
        </w:rPr>
        <w:t>journaler</w:t>
      </w:r>
      <w:r w:rsidR="005406D1">
        <w:rPr>
          <w:rFonts w:eastAsia="Times New Roman" w:cs="Times New Roman"/>
          <w:color w:val="000000"/>
          <w:lang w:eastAsia="da-DK"/>
        </w:rPr>
        <w:t xml:space="preserve"> samt forsøgsdokumenter</w:t>
      </w:r>
      <w:r w:rsidR="009C24A6" w:rsidRPr="00577043">
        <w:rPr>
          <w:rFonts w:eastAsia="Times New Roman" w:cs="Times New Roman"/>
          <w:color w:val="000000"/>
          <w:lang w:eastAsia="da-DK"/>
        </w:rPr>
        <w:t>. Der er ikke tiltænkt nogen indholdsmæssig ændring af</w:t>
      </w:r>
      <w:r w:rsidR="00907BD6">
        <w:rPr>
          <w:rFonts w:eastAsia="Times New Roman" w:cs="Times New Roman"/>
          <w:color w:val="000000"/>
          <w:lang w:eastAsia="da-DK"/>
        </w:rPr>
        <w:t xml:space="preserve"> </w:t>
      </w:r>
      <w:r w:rsidR="009C24A6" w:rsidRPr="00577043">
        <w:rPr>
          <w:rFonts w:eastAsia="Times New Roman" w:cs="Times New Roman"/>
          <w:color w:val="000000"/>
          <w:lang w:eastAsia="da-DK"/>
        </w:rPr>
        <w:t>den nuværende bestemmelse i lægemiddelloven.</w:t>
      </w:r>
    </w:p>
    <w:p w14:paraId="71E62402" w14:textId="77777777" w:rsidR="00504753" w:rsidRPr="00577043" w:rsidRDefault="00504753" w:rsidP="00CB2276">
      <w:pPr>
        <w:rPr>
          <w:rFonts w:eastAsia="Times New Roman" w:cs="Times New Roman"/>
          <w:color w:val="000000"/>
          <w:lang w:eastAsia="da-DK"/>
        </w:rPr>
      </w:pPr>
    </w:p>
    <w:p w14:paraId="25006726" w14:textId="77777777" w:rsidR="009C24A6" w:rsidRPr="00577043" w:rsidRDefault="0058651B" w:rsidP="00CB2276">
      <w:pPr>
        <w:rPr>
          <w:rFonts w:eastAsia="Times New Roman" w:cs="Times New Roman"/>
          <w:color w:val="000000"/>
          <w:lang w:eastAsia="da-DK"/>
        </w:rPr>
      </w:pPr>
      <w:r>
        <w:rPr>
          <w:rFonts w:eastAsia="Times New Roman" w:cs="Times New Roman"/>
          <w:color w:val="000000"/>
          <w:lang w:eastAsia="da-DK"/>
        </w:rPr>
        <w:t>Lægemiddelstyrelsen</w:t>
      </w:r>
      <w:r w:rsidR="009C24A6" w:rsidRPr="00577043">
        <w:rPr>
          <w:rFonts w:eastAsia="Times New Roman" w:cs="Times New Roman"/>
          <w:color w:val="000000"/>
          <w:lang w:eastAsia="da-DK"/>
        </w:rPr>
        <w:t xml:space="preserve">s repræsentanter </w:t>
      </w:r>
      <w:r w:rsidR="00AE25D3">
        <w:rPr>
          <w:rFonts w:eastAsia="Times New Roman" w:cs="Times New Roman"/>
          <w:color w:val="000000"/>
          <w:lang w:eastAsia="da-DK"/>
        </w:rPr>
        <w:t>får</w:t>
      </w:r>
      <w:r w:rsidR="009C24A6" w:rsidRPr="00577043">
        <w:rPr>
          <w:rFonts w:eastAsia="Times New Roman" w:cs="Times New Roman"/>
          <w:color w:val="000000"/>
          <w:lang w:eastAsia="da-DK"/>
        </w:rPr>
        <w:t xml:space="preserve"> således adgang til </w:t>
      </w:r>
      <w:r w:rsidR="00CF5251">
        <w:rPr>
          <w:rFonts w:eastAsia="Times New Roman" w:cs="Times New Roman"/>
          <w:color w:val="000000"/>
          <w:lang w:eastAsia="da-DK"/>
        </w:rPr>
        <w:t xml:space="preserve">at se </w:t>
      </w:r>
      <w:r w:rsidR="009C24A6" w:rsidRPr="00577043">
        <w:rPr>
          <w:rFonts w:eastAsia="Times New Roman" w:cs="Times New Roman"/>
          <w:color w:val="000000"/>
          <w:lang w:eastAsia="da-DK"/>
        </w:rPr>
        <w:t xml:space="preserve">alle </w:t>
      </w:r>
      <w:r w:rsidR="00DB5006">
        <w:rPr>
          <w:rFonts w:eastAsia="Times New Roman" w:cs="Times New Roman"/>
          <w:color w:val="000000"/>
          <w:lang w:eastAsia="da-DK"/>
        </w:rPr>
        <w:t>nødvendige</w:t>
      </w:r>
      <w:r w:rsidR="009C24A6" w:rsidRPr="00577043">
        <w:rPr>
          <w:rFonts w:eastAsia="Times New Roman" w:cs="Times New Roman"/>
          <w:color w:val="000000"/>
          <w:lang w:eastAsia="da-DK"/>
        </w:rPr>
        <w:t xml:space="preserve"> oplysninger om et klinisk forsøg, der er nødvendige for kontrollen, herunder oplysninger om forsøgspersoners helbredsforhold omfattet af persondatalovens §§ 6-8 og 11. </w:t>
      </w:r>
    </w:p>
    <w:p w14:paraId="1B81F18D" w14:textId="77777777" w:rsidR="009C24A6" w:rsidRPr="00577043" w:rsidRDefault="009C24A6" w:rsidP="00CB2276">
      <w:pPr>
        <w:rPr>
          <w:rFonts w:eastAsia="Times New Roman" w:cs="Times New Roman"/>
          <w:color w:val="000000"/>
          <w:lang w:eastAsia="da-DK"/>
        </w:rPr>
      </w:pPr>
    </w:p>
    <w:p w14:paraId="631C7268" w14:textId="77777777" w:rsidR="00993544" w:rsidRDefault="00993544" w:rsidP="00993544">
      <w:pPr>
        <w:rPr>
          <w:rFonts w:eastAsia="Times New Roman" w:cs="Times New Roman"/>
          <w:color w:val="000000"/>
          <w:lang w:eastAsia="da-DK"/>
        </w:rPr>
      </w:pPr>
      <w:r w:rsidRPr="00577043">
        <w:rPr>
          <w:rFonts w:eastAsia="Times New Roman" w:cs="Times New Roman"/>
          <w:color w:val="000000"/>
          <w:lang w:eastAsia="da-DK"/>
        </w:rPr>
        <w:t>Adgangen til oplysningerne skal ske med respekt for princippet i persondatalovens § 5, stk. 3, hvorefter oplysninger, som behandles, skal være relevante og tilstrækkelige og ikke omfatte mere, end hvad der kræves til opfyldelse af de formål, hvortil oplysningerne indsamles, og de formål, hvortil oplysningerne senere behandles.</w:t>
      </w:r>
    </w:p>
    <w:p w14:paraId="555DE4DC" w14:textId="77777777" w:rsidR="002A699F" w:rsidRDefault="002A699F" w:rsidP="00993544">
      <w:pPr>
        <w:rPr>
          <w:rFonts w:eastAsia="Times New Roman" w:cs="Times New Roman"/>
          <w:color w:val="000000"/>
          <w:lang w:eastAsia="da-DK"/>
        </w:rPr>
      </w:pPr>
    </w:p>
    <w:p w14:paraId="0E21A70A" w14:textId="77777777" w:rsidR="002A699F" w:rsidRPr="00577043" w:rsidRDefault="002A699F" w:rsidP="00993544">
      <w:pPr>
        <w:rPr>
          <w:rFonts w:eastAsia="Times New Roman" w:cs="Times New Roman"/>
          <w:color w:val="000000"/>
          <w:lang w:eastAsia="da-DK"/>
        </w:rPr>
      </w:pPr>
      <w:r>
        <w:rPr>
          <w:rFonts w:eastAsia="Times New Roman" w:cs="Times New Roman"/>
          <w:color w:val="000000"/>
          <w:lang w:eastAsia="da-DK"/>
        </w:rPr>
        <w:t>Lægemiddelstyrelsens behandling af oplysningerne i forbindelse med inspektioner kan efter ministeri</w:t>
      </w:r>
      <w:r w:rsidR="000863FD">
        <w:rPr>
          <w:rFonts w:eastAsia="Times New Roman" w:cs="Times New Roman"/>
          <w:color w:val="000000"/>
          <w:lang w:eastAsia="da-DK"/>
        </w:rPr>
        <w:t>e</w:t>
      </w:r>
      <w:r>
        <w:rPr>
          <w:rFonts w:eastAsia="Times New Roman" w:cs="Times New Roman"/>
          <w:color w:val="000000"/>
          <w:lang w:eastAsia="da-DK"/>
        </w:rPr>
        <w:t>ts vurdering foretages inden for rammerne af persondatalovens § 7, stk. 5.</w:t>
      </w:r>
    </w:p>
    <w:p w14:paraId="3C11D950" w14:textId="77777777" w:rsidR="009C24A6" w:rsidRDefault="009C24A6" w:rsidP="00CB2276">
      <w:pPr>
        <w:rPr>
          <w:rFonts w:eastAsia="Times New Roman" w:cs="Times New Roman"/>
          <w:color w:val="000000"/>
          <w:lang w:eastAsia="da-DK"/>
        </w:rPr>
      </w:pPr>
    </w:p>
    <w:p w14:paraId="13CAB220" w14:textId="77777777" w:rsidR="009A71EF" w:rsidRPr="00577043" w:rsidRDefault="009A71EF" w:rsidP="009A71EF">
      <w:pPr>
        <w:pStyle w:val="Overskrift2"/>
        <w:jc w:val="left"/>
        <w:rPr>
          <w:rFonts w:eastAsia="Times New Roman" w:cs="Times New Roman"/>
          <w:lang w:eastAsia="da-DK"/>
        </w:rPr>
      </w:pPr>
      <w:r w:rsidRPr="00577043">
        <w:rPr>
          <w:rFonts w:eastAsia="Times New Roman" w:cs="Times New Roman"/>
          <w:lang w:eastAsia="da-DK"/>
        </w:rPr>
        <w:t>T</w:t>
      </w:r>
      <w:r>
        <w:rPr>
          <w:rFonts w:eastAsia="Times New Roman" w:cs="Times New Roman"/>
          <w:lang w:eastAsia="da-DK"/>
        </w:rPr>
        <w:t xml:space="preserve">il § </w:t>
      </w:r>
      <w:r w:rsidR="00F42FB8">
        <w:rPr>
          <w:rFonts w:eastAsia="Times New Roman" w:cs="Times New Roman"/>
          <w:lang w:eastAsia="da-DK"/>
        </w:rPr>
        <w:t>19</w:t>
      </w:r>
      <w:r w:rsidRPr="00577043">
        <w:rPr>
          <w:rFonts w:eastAsia="Times New Roman" w:cs="Times New Roman"/>
          <w:lang w:eastAsia="da-DK"/>
        </w:rPr>
        <w:t>. [</w:t>
      </w:r>
      <w:r w:rsidR="00C164B9">
        <w:rPr>
          <w:rFonts w:eastAsia="Times New Roman" w:cs="Times New Roman"/>
          <w:lang w:eastAsia="da-DK"/>
        </w:rPr>
        <w:t>S</w:t>
      </w:r>
      <w:r w:rsidRPr="00577043">
        <w:rPr>
          <w:rFonts w:eastAsia="Times New Roman" w:cs="Times New Roman"/>
          <w:lang w:eastAsia="da-DK"/>
        </w:rPr>
        <w:t>ponsors</w:t>
      </w:r>
      <w:r w:rsidR="00797E3C">
        <w:rPr>
          <w:rFonts w:eastAsia="Times New Roman" w:cs="Times New Roman"/>
          <w:lang w:eastAsia="da-DK"/>
        </w:rPr>
        <w:t>, investigators</w:t>
      </w:r>
      <w:r w:rsidRPr="00577043">
        <w:rPr>
          <w:rFonts w:eastAsia="Times New Roman" w:cs="Times New Roman"/>
          <w:lang w:eastAsia="da-DK"/>
        </w:rPr>
        <w:t xml:space="preserve"> </w:t>
      </w:r>
      <w:r>
        <w:rPr>
          <w:rFonts w:eastAsia="Times New Roman" w:cs="Times New Roman"/>
          <w:lang w:eastAsia="da-DK"/>
        </w:rPr>
        <w:t xml:space="preserve">og udenlandske myndigheders </w:t>
      </w:r>
      <w:r w:rsidRPr="00577043">
        <w:rPr>
          <w:rFonts w:eastAsia="Times New Roman" w:cs="Times New Roman"/>
          <w:lang w:eastAsia="da-DK"/>
        </w:rPr>
        <w:t>kontrol med kliniske forsøg på mennesker]</w:t>
      </w:r>
    </w:p>
    <w:p w14:paraId="622023DB" w14:textId="77777777" w:rsidR="00E0671E" w:rsidRDefault="00E0671E" w:rsidP="009A71EF">
      <w:pPr>
        <w:rPr>
          <w:i/>
        </w:rPr>
      </w:pPr>
    </w:p>
    <w:p w14:paraId="060C652C" w14:textId="77777777" w:rsidR="00AD0F34" w:rsidRPr="00AD0F34" w:rsidRDefault="00AD0F34" w:rsidP="009A71EF">
      <w:pPr>
        <w:rPr>
          <w:i/>
        </w:rPr>
      </w:pPr>
      <w:r>
        <w:rPr>
          <w:i/>
        </w:rPr>
        <w:t>Sponsors, monitors og investigators adgang til oplysninger fra patientjournaler</w:t>
      </w:r>
    </w:p>
    <w:p w14:paraId="24920FF2" w14:textId="77777777" w:rsidR="00373BED" w:rsidRDefault="009A71EF" w:rsidP="00373BED">
      <w:pPr>
        <w:rPr>
          <w:lang w:eastAsia="da-DK"/>
        </w:rPr>
      </w:pPr>
      <w:r w:rsidRPr="00577043">
        <w:t>Det foreslås</w:t>
      </w:r>
      <w:r>
        <w:t xml:space="preserve"> med </w:t>
      </w:r>
      <w:r>
        <w:rPr>
          <w:i/>
        </w:rPr>
        <w:t xml:space="preserve">§ </w:t>
      </w:r>
      <w:r w:rsidR="00AE0B95">
        <w:rPr>
          <w:i/>
        </w:rPr>
        <w:t>19</w:t>
      </w:r>
      <w:r w:rsidRPr="00EC0709">
        <w:rPr>
          <w:i/>
        </w:rPr>
        <w:t>, stk. 1</w:t>
      </w:r>
      <w:r w:rsidRPr="00577043">
        <w:t>, at sponsor</w:t>
      </w:r>
      <w:r w:rsidR="00D5779B">
        <w:t>, investigator</w:t>
      </w:r>
      <w:r w:rsidRPr="00577043">
        <w:t xml:space="preserve"> og </w:t>
      </w:r>
      <w:r w:rsidR="001C2DA0">
        <w:t>sponsors repræsentant (</w:t>
      </w:r>
      <w:r w:rsidR="003A2954">
        <w:t xml:space="preserve">fx </w:t>
      </w:r>
      <w:r w:rsidRPr="00577043">
        <w:t>monitor</w:t>
      </w:r>
      <w:r w:rsidR="001C2DA0">
        <w:t>)</w:t>
      </w:r>
      <w:r w:rsidRPr="00577043">
        <w:t xml:space="preserve"> </w:t>
      </w:r>
      <w:r w:rsidR="00373BED">
        <w:t xml:space="preserve">kan indhente og behandle </w:t>
      </w:r>
      <w:r w:rsidRPr="00577043">
        <w:t xml:space="preserve">relevante </w:t>
      </w:r>
      <w:r w:rsidR="008E1491">
        <w:t>oplysninger</w:t>
      </w:r>
      <w:r w:rsidRPr="00577043">
        <w:t xml:space="preserve"> fra forsøgsdeltageres patientjournal</w:t>
      </w:r>
      <w:r w:rsidR="00373BED">
        <w:t>, herunder elektroniske</w:t>
      </w:r>
      <w:r w:rsidR="00C41FE6">
        <w:t xml:space="preserve"> journaler</w:t>
      </w:r>
      <w:r w:rsidR="00373BED">
        <w:t>,</w:t>
      </w:r>
      <w:r w:rsidRPr="00577043">
        <w:t xml:space="preserve"> som led i egenkontrol og kvalitetskontrol</w:t>
      </w:r>
      <w:r w:rsidR="00C307FD">
        <w:t xml:space="preserve"> i medfør af forordningen</w:t>
      </w:r>
      <w:r w:rsidRPr="00577043">
        <w:t xml:space="preserve">. </w:t>
      </w:r>
      <w:r w:rsidR="00C41FE6">
        <w:rPr>
          <w:lang w:eastAsia="da-DK"/>
        </w:rPr>
        <w:t>Ved opslag og anvendelse</w:t>
      </w:r>
      <w:r w:rsidR="00373BED">
        <w:rPr>
          <w:lang w:eastAsia="da-DK"/>
        </w:rPr>
        <w:t xml:space="preserve"> </w:t>
      </w:r>
      <w:r w:rsidR="00373BED" w:rsidRPr="00027FD3">
        <w:rPr>
          <w:lang w:eastAsia="da-DK"/>
        </w:rPr>
        <w:t>af de oplysninger, som indhentes efter bestemmelsen, gælder et almindeligt krav om saglighed og nødvendighed.</w:t>
      </w:r>
    </w:p>
    <w:p w14:paraId="127A6AEB" w14:textId="77777777" w:rsidR="00373BED" w:rsidRDefault="00373BED" w:rsidP="009A71EF"/>
    <w:p w14:paraId="7D646F17" w14:textId="77777777" w:rsidR="00891D9E" w:rsidRPr="00577043" w:rsidRDefault="00CB5976" w:rsidP="00891D9E">
      <w:r>
        <w:t>S</w:t>
      </w:r>
      <w:r w:rsidR="009A71EF" w:rsidRPr="00577043">
        <w:t>ponsors</w:t>
      </w:r>
      <w:r w:rsidR="005E7F39">
        <w:t>, monitors</w:t>
      </w:r>
      <w:r w:rsidR="009A71EF" w:rsidRPr="00577043">
        <w:t xml:space="preserve"> og investigator</w:t>
      </w:r>
      <w:r w:rsidR="00D80D1F">
        <w:t>s</w:t>
      </w:r>
      <w:r w:rsidR="009A71EF" w:rsidRPr="00577043">
        <w:t xml:space="preserve"> </w:t>
      </w:r>
      <w:r>
        <w:t xml:space="preserve">adgang </w:t>
      </w:r>
      <w:r w:rsidR="009A71EF" w:rsidRPr="00577043">
        <w:t xml:space="preserve">til </w:t>
      </w:r>
      <w:r w:rsidR="00C77E94">
        <w:t xml:space="preserve">at se </w:t>
      </w:r>
      <w:r w:rsidR="009A71EF">
        <w:t xml:space="preserve">nødvendige oplysninger i </w:t>
      </w:r>
      <w:r>
        <w:t xml:space="preserve">en </w:t>
      </w:r>
      <w:r w:rsidR="009A71EF" w:rsidRPr="00577043">
        <w:t>forsøgspersons journaler</w:t>
      </w:r>
      <w:r w:rsidR="00C77E94">
        <w:t xml:space="preserve"> forudsætter</w:t>
      </w:r>
      <w:r w:rsidR="000E0CBD">
        <w:t xml:space="preserve"> </w:t>
      </w:r>
      <w:r w:rsidR="00D80D1F">
        <w:t xml:space="preserve">et </w:t>
      </w:r>
      <w:r w:rsidR="000E0CBD">
        <w:t>informeret</w:t>
      </w:r>
      <w:r w:rsidR="009A71EF" w:rsidRPr="00577043">
        <w:t xml:space="preserve"> samtykke eller stedfortrædende </w:t>
      </w:r>
      <w:r w:rsidR="000E0CBD">
        <w:t xml:space="preserve">informeret </w:t>
      </w:r>
      <w:r w:rsidR="009A71EF" w:rsidRPr="00577043">
        <w:t xml:space="preserve">samtykke </w:t>
      </w:r>
      <w:r>
        <w:t xml:space="preserve">fra </w:t>
      </w:r>
      <w:r w:rsidR="009A71EF" w:rsidRPr="00577043">
        <w:t>forsøgsperson</w:t>
      </w:r>
      <w:r>
        <w:t>en</w:t>
      </w:r>
      <w:r w:rsidR="00250803" w:rsidRPr="00577043">
        <w:t>.</w:t>
      </w:r>
      <w:r w:rsidR="00250803">
        <w:t xml:space="preserve"> </w:t>
      </w:r>
      <w:r w:rsidR="00891D9E">
        <w:t xml:space="preserve">Det er således en </w:t>
      </w:r>
      <w:r w:rsidR="00891D9E" w:rsidRPr="00577043">
        <w:t>forudsætning</w:t>
      </w:r>
      <w:r w:rsidR="00891D9E">
        <w:t xml:space="preserve">, at forsøgspersoner forud for samtykke til deltagelse i et klinisk forsøg informeres om, at </w:t>
      </w:r>
      <w:r w:rsidR="00891D9E" w:rsidRPr="00577043">
        <w:t>helbredsoplysninger m</w:t>
      </w:r>
      <w:r w:rsidR="00094421">
        <w:t>.</w:t>
      </w:r>
      <w:r w:rsidR="00891D9E" w:rsidRPr="00577043">
        <w:t>v. kan blive undergivet behandling som led i kvalitetssikring og egenkontrol.</w:t>
      </w:r>
    </w:p>
    <w:p w14:paraId="1106CEA1" w14:textId="77777777" w:rsidR="00891D9E" w:rsidRDefault="00891D9E" w:rsidP="00250803"/>
    <w:p w14:paraId="4D31A0F9" w14:textId="77777777" w:rsidR="00373BED" w:rsidRDefault="00373BED" w:rsidP="00373BED">
      <w:pPr>
        <w:rPr>
          <w:lang w:eastAsia="da-DK"/>
        </w:rPr>
      </w:pPr>
    </w:p>
    <w:p w14:paraId="03F949ED" w14:textId="77777777" w:rsidR="00373BED" w:rsidRPr="00027FD3" w:rsidRDefault="00373BED" w:rsidP="00373BED">
      <w:pPr>
        <w:rPr>
          <w:lang w:eastAsia="da-DK"/>
        </w:rPr>
      </w:pPr>
      <w:r>
        <w:rPr>
          <w:lang w:eastAsia="da-DK"/>
        </w:rPr>
        <w:t>K</w:t>
      </w:r>
      <w:r w:rsidRPr="00027FD3">
        <w:rPr>
          <w:lang w:eastAsia="da-DK"/>
        </w:rPr>
        <w:t>ravet om, at indhentning kan ske i </w:t>
      </w:r>
      <w:r w:rsidRPr="00027FD3">
        <w:rPr>
          <w:i/>
          <w:iCs/>
          <w:lang w:eastAsia="da-DK"/>
        </w:rPr>
        <w:t>fornødent omfang</w:t>
      </w:r>
      <w:r w:rsidRPr="00027FD3">
        <w:rPr>
          <w:lang w:eastAsia="da-DK"/>
        </w:rPr>
        <w:t xml:space="preserve">, </w:t>
      </w:r>
      <w:r>
        <w:rPr>
          <w:lang w:eastAsia="da-DK"/>
        </w:rPr>
        <w:t>indebærer bl.a.</w:t>
      </w:r>
      <w:r w:rsidRPr="00027FD3">
        <w:rPr>
          <w:lang w:eastAsia="da-DK"/>
        </w:rPr>
        <w:t xml:space="preserve">, at hvis </w:t>
      </w:r>
      <w:r>
        <w:rPr>
          <w:lang w:eastAsia="da-DK"/>
        </w:rPr>
        <w:t>investigator, sponsor eller monitor</w:t>
      </w:r>
      <w:r w:rsidRPr="00027FD3">
        <w:rPr>
          <w:lang w:eastAsia="da-DK"/>
        </w:rPr>
        <w:t xml:space="preserve"> ved opslag i </w:t>
      </w:r>
      <w:r>
        <w:rPr>
          <w:lang w:eastAsia="da-DK"/>
        </w:rPr>
        <w:t>journal</w:t>
      </w:r>
      <w:r w:rsidRPr="00027FD3">
        <w:rPr>
          <w:lang w:eastAsia="da-DK"/>
        </w:rPr>
        <w:t xml:space="preserve">systemet først præsenteres for en oversigt over eller sammenfatning af de konkrete oplysninger, som kan søges frem fra et dybereliggende niveau i systemet, må denne kun slå op på de konkrete oplysninger, </w:t>
      </w:r>
      <w:r>
        <w:rPr>
          <w:lang w:eastAsia="da-DK"/>
        </w:rPr>
        <w:t>når</w:t>
      </w:r>
      <w:r w:rsidRPr="00027FD3">
        <w:rPr>
          <w:lang w:eastAsia="da-DK"/>
        </w:rPr>
        <w:t xml:space="preserve"> vedkommende ud fra oversigten eller sammenfatningen vurderer, at der er et fagligt behov for at se de konkrete oplysninger.</w:t>
      </w:r>
    </w:p>
    <w:p w14:paraId="0D95B7EE" w14:textId="77777777" w:rsidR="00373BED" w:rsidRDefault="00373BED" w:rsidP="00373BED">
      <w:pPr>
        <w:rPr>
          <w:lang w:eastAsia="da-DK"/>
        </w:rPr>
      </w:pPr>
    </w:p>
    <w:p w14:paraId="43BDED18" w14:textId="77777777" w:rsidR="00DA21D0" w:rsidRDefault="00DA21D0" w:rsidP="00DA21D0">
      <w:pPr>
        <w:rPr>
          <w:lang w:eastAsia="da-DK"/>
        </w:rPr>
      </w:pPr>
      <w:r w:rsidRPr="00027FD3">
        <w:rPr>
          <w:lang w:eastAsia="da-DK"/>
        </w:rPr>
        <w:t xml:space="preserve">En </w:t>
      </w:r>
      <w:r>
        <w:rPr>
          <w:lang w:eastAsia="da-DK"/>
        </w:rPr>
        <w:t>forsøgsperson</w:t>
      </w:r>
      <w:r w:rsidRPr="00027FD3">
        <w:rPr>
          <w:lang w:eastAsia="da-DK"/>
        </w:rPr>
        <w:t xml:space="preserve">, der ikke kan varetage sine interesser, er også omfattet af stk. </w:t>
      </w:r>
      <w:r w:rsidR="00E13D76">
        <w:rPr>
          <w:lang w:eastAsia="da-DK"/>
        </w:rPr>
        <w:t>2</w:t>
      </w:r>
      <w:r w:rsidRPr="00027FD3">
        <w:rPr>
          <w:lang w:eastAsia="da-DK"/>
        </w:rPr>
        <w:t xml:space="preserve">, og i sådanne situationer indtræder den eller de personer, der efter lovgivningen er bemyndiget hertil, i </w:t>
      </w:r>
      <w:r>
        <w:rPr>
          <w:lang w:eastAsia="da-DK"/>
        </w:rPr>
        <w:t>forsøgspersonens</w:t>
      </w:r>
      <w:r w:rsidRPr="00027FD3">
        <w:rPr>
          <w:lang w:eastAsia="da-DK"/>
        </w:rPr>
        <w:t xml:space="preserve"> rettigheder i det omfang, det er nødvendigt for at varetage </w:t>
      </w:r>
      <w:r>
        <w:rPr>
          <w:lang w:eastAsia="da-DK"/>
        </w:rPr>
        <w:t>forsøgspersonens</w:t>
      </w:r>
      <w:r w:rsidRPr="00027FD3">
        <w:rPr>
          <w:lang w:eastAsia="da-DK"/>
        </w:rPr>
        <w:t xml:space="preserve"> interesser i de</w:t>
      </w:r>
      <w:r>
        <w:rPr>
          <w:lang w:eastAsia="da-DK"/>
        </w:rPr>
        <w:t>n pågældende situation</w:t>
      </w:r>
      <w:r w:rsidRPr="00027FD3">
        <w:rPr>
          <w:lang w:eastAsia="da-DK"/>
        </w:rPr>
        <w:t>.</w:t>
      </w:r>
      <w:r>
        <w:rPr>
          <w:lang w:eastAsia="da-DK"/>
        </w:rPr>
        <w:t xml:space="preserve"> Dette gælder også i forbindelse med forskning i akutte situationer</w:t>
      </w:r>
      <w:r w:rsidR="005D1043" w:rsidRPr="005D1043">
        <w:t xml:space="preserve"> </w:t>
      </w:r>
      <w:r w:rsidR="005D1043">
        <w:t>jf. forordningens artikel 35, stk. 2</w:t>
      </w:r>
      <w:r>
        <w:rPr>
          <w:lang w:eastAsia="da-DK"/>
        </w:rPr>
        <w:t>.</w:t>
      </w:r>
    </w:p>
    <w:p w14:paraId="683D7E12" w14:textId="77777777" w:rsidR="00DA21D0" w:rsidRDefault="00DA21D0" w:rsidP="009A71EF"/>
    <w:p w14:paraId="1A1A55E7" w14:textId="77777777" w:rsidR="00795F99" w:rsidRPr="00795F99" w:rsidRDefault="00795F99" w:rsidP="009A71EF">
      <w:pPr>
        <w:rPr>
          <w:i/>
        </w:rPr>
      </w:pPr>
      <w:r w:rsidRPr="00795F99">
        <w:rPr>
          <w:i/>
        </w:rPr>
        <w:t>Forsøgspersoner, som er udgået af forsøget</w:t>
      </w:r>
    </w:p>
    <w:p w14:paraId="7F5E3ED4" w14:textId="77777777" w:rsidR="00795F99" w:rsidRDefault="00795F99" w:rsidP="00795F99">
      <w:r>
        <w:t>Som følge af, at deltagelsen i forsøget er koblet med et samtykke fra den konkrete forsøgsdeltager, er det udgangspunktet, at adgangen til at se helbredsoplysninger falder bort, hvis forsøgspersonen trækker si</w:t>
      </w:r>
      <w:r w:rsidR="004355E3">
        <w:t xml:space="preserve">t </w:t>
      </w:r>
      <w:r>
        <w:t xml:space="preserve">samtykke tilbage. Det vil sige, at fra det tidspunkt, hvor der er sket en tilbagekaldelse af samtykket, kan forsker (og sponsor og dennes repræsentanter) ikke længere følge forsøgspersonen fremadrettet i </w:t>
      </w:r>
      <w:r>
        <w:lastRenderedPageBreak/>
        <w:t>patientjournalen. Det vil dog være muligt (relevant for især sponsor og monitor) at verificere allerede indhentede data og oplysninger.</w:t>
      </w:r>
    </w:p>
    <w:p w14:paraId="5D9D48E5" w14:textId="77777777" w:rsidR="00795F99" w:rsidRDefault="00795F99" w:rsidP="00795F99"/>
    <w:p w14:paraId="76025906" w14:textId="77777777" w:rsidR="00795F99" w:rsidRDefault="00795F99" w:rsidP="00795F99">
      <w:r>
        <w:t xml:space="preserve">Der kan være tilfælde, hvor der er vægtige lægefaglige grunde til, at </w:t>
      </w:r>
      <w:r w:rsidR="009A1D22">
        <w:t>investigator</w:t>
      </w:r>
      <w:r>
        <w:t xml:space="preserve"> fortsat kan have adgang til patientjournalen, selv om forsøgspersonen ophører med at tage medicinen eller møde op til kontrol. D</w:t>
      </w:r>
      <w:r w:rsidRPr="00ED7E1F">
        <w:t xml:space="preserve">er kan typisk være tale om </w:t>
      </w:r>
      <w:r>
        <w:t xml:space="preserve">hensyn til forsøgspersonernes egen sikkerhed eller sikkerheden for andre forsøgspersoner i forbindelse med registrering af </w:t>
      </w:r>
      <w:r w:rsidRPr="00ED7E1F">
        <w:t>bivirkninger (</w:t>
      </w:r>
      <w:r>
        <w:t xml:space="preserve">herunder </w:t>
      </w:r>
      <w:r w:rsidRPr="00ED7E1F">
        <w:t>ved follow up), bias m</w:t>
      </w:r>
      <w:r w:rsidR="00094421">
        <w:t>.</w:t>
      </w:r>
      <w:r w:rsidRPr="00ED7E1F">
        <w:t>v.</w:t>
      </w:r>
    </w:p>
    <w:p w14:paraId="531E213B" w14:textId="77777777" w:rsidR="00795F99" w:rsidRDefault="00795F99" w:rsidP="00795F99"/>
    <w:p w14:paraId="45EDBD8F" w14:textId="77777777" w:rsidR="00795F99" w:rsidRDefault="00795F99" w:rsidP="00795F99">
      <w:r>
        <w:t>Der</w:t>
      </w:r>
      <w:r w:rsidRPr="00ED7E1F">
        <w:t xml:space="preserve"> må </w:t>
      </w:r>
      <w:r>
        <w:t xml:space="preserve">i forbindelse med anmeldelsen af projektet </w:t>
      </w:r>
      <w:r w:rsidRPr="00ED7E1F">
        <w:t>foretage</w:t>
      </w:r>
      <w:r>
        <w:t>s</w:t>
      </w:r>
      <w:r w:rsidRPr="00ED7E1F">
        <w:t xml:space="preserve"> en konkret vurdering </w:t>
      </w:r>
      <w:r>
        <w:t xml:space="preserve">af, </w:t>
      </w:r>
      <w:r w:rsidRPr="00ED7E1F">
        <w:t>om der er gode og tungtvejende læge- o</w:t>
      </w:r>
      <w:r>
        <w:t xml:space="preserve">g sundhedsfaglige grunde i det konkrete forsøg til, </w:t>
      </w:r>
      <w:r w:rsidRPr="00ED7E1F">
        <w:t xml:space="preserve">at </w:t>
      </w:r>
      <w:r>
        <w:t>forsøgsansvarlige m</w:t>
      </w:r>
      <w:r w:rsidR="00094421">
        <w:t>.</w:t>
      </w:r>
      <w:r>
        <w:t xml:space="preserve">v. skal kunne følge forsøgspersonenerne, selvom de ophører med at tage forsøgsmedicinen. </w:t>
      </w:r>
    </w:p>
    <w:p w14:paraId="4C8DEAB8" w14:textId="77777777" w:rsidR="00795F99" w:rsidRDefault="00795F99" w:rsidP="00795F99"/>
    <w:p w14:paraId="7B727187" w14:textId="77777777" w:rsidR="00795F99" w:rsidRDefault="00795F99" w:rsidP="00795F99">
      <w:r w:rsidRPr="00ED7E1F">
        <w:t>Hvis det vurderes, at der er gode grunde til at følge forsøgspersoner, der ikke</w:t>
      </w:r>
      <w:r>
        <w:t xml:space="preserve"> længere modtager medicinen, skal</w:t>
      </w:r>
      <w:r w:rsidRPr="00ED7E1F">
        <w:t xml:space="preserve"> </w:t>
      </w:r>
      <w:r>
        <w:t xml:space="preserve">dette tydeligt af </w:t>
      </w:r>
      <w:r w:rsidRPr="00ED7E1F">
        <w:t>del</w:t>
      </w:r>
      <w:r>
        <w:t>tagerinformationen. Det skal også fremgå tydeligt af protokollen, hvad hensigten med opfølgningen er, og hvordan dette vil ske (fx ved adgang til patientjournal, CPR-registret, eller dødsårsagsregistret). Komiteens godkendelse af protokollen vil således berettige videregivelse fra patientjournalen efter den foreslåedes § 19, stk. 1.</w:t>
      </w:r>
    </w:p>
    <w:p w14:paraId="707A3C54" w14:textId="77777777" w:rsidR="00795F99" w:rsidRDefault="00795F99" w:rsidP="00795F99">
      <w:r>
        <w:t xml:space="preserve"> </w:t>
      </w:r>
    </w:p>
    <w:p w14:paraId="1C695F20" w14:textId="77777777" w:rsidR="00795F99" w:rsidRDefault="00795F99" w:rsidP="00795F99">
      <w:r>
        <w:t>Det bemærkes, såfremt en patient aktivt trækker sit samtykke tilbage og tilkendegiver, at vedkommende ikke ønsker at blive fulgt eller kontaktet, skal dette respekteres.</w:t>
      </w:r>
    </w:p>
    <w:p w14:paraId="117304CD" w14:textId="77777777" w:rsidR="007A0353" w:rsidRDefault="007A0353" w:rsidP="00795F99"/>
    <w:p w14:paraId="048BEC77" w14:textId="77777777" w:rsidR="007A0353" w:rsidRPr="00577043" w:rsidRDefault="007A0353" w:rsidP="00795F99">
      <w:r>
        <w:t>Sponsors og investigators behandling af allerede indsamlede oplysninger om udgåede forsøgspersoner er særskilt reguleret i forordningen.</w:t>
      </w:r>
    </w:p>
    <w:p w14:paraId="06FB495B" w14:textId="77777777" w:rsidR="004A0783" w:rsidRDefault="004A0783" w:rsidP="009A71EF"/>
    <w:p w14:paraId="7139DD68" w14:textId="77777777" w:rsidR="003751C6" w:rsidRPr="003751C6" w:rsidRDefault="00AD0F34" w:rsidP="009A71EF">
      <w:pPr>
        <w:rPr>
          <w:i/>
        </w:rPr>
      </w:pPr>
      <w:r>
        <w:rPr>
          <w:i/>
        </w:rPr>
        <w:t>U</w:t>
      </w:r>
      <w:r w:rsidR="003751C6">
        <w:rPr>
          <w:i/>
        </w:rPr>
        <w:t>denlandske myndighede</w:t>
      </w:r>
      <w:r>
        <w:rPr>
          <w:i/>
        </w:rPr>
        <w:t>s adgang til patientjournale</w:t>
      </w:r>
      <w:r w:rsidR="003751C6">
        <w:rPr>
          <w:i/>
        </w:rPr>
        <w:t>r</w:t>
      </w:r>
    </w:p>
    <w:p w14:paraId="53EFC535" w14:textId="77777777" w:rsidR="009A71EF" w:rsidRPr="00577043" w:rsidRDefault="003751C6" w:rsidP="009A71EF">
      <w:r>
        <w:t xml:space="preserve">Det </w:t>
      </w:r>
      <w:r w:rsidR="009A71EF" w:rsidRPr="00577043">
        <w:t xml:space="preserve">foreslås </w:t>
      </w:r>
      <w:r w:rsidR="00D10FB0">
        <w:t>med § 1</w:t>
      </w:r>
      <w:r w:rsidR="005D1043">
        <w:t>9</w:t>
      </w:r>
      <w:r w:rsidR="00D10FB0">
        <w:t>, stk. 2</w:t>
      </w:r>
      <w:r>
        <w:t>,</w:t>
      </w:r>
      <w:r w:rsidR="009A71EF" w:rsidRPr="00577043">
        <w:t xml:space="preserve"> at udenlandske lægemiddelmyndigheder </w:t>
      </w:r>
      <w:r w:rsidR="00B575E2">
        <w:t xml:space="preserve">kan </w:t>
      </w:r>
      <w:r w:rsidR="00CE23C0">
        <w:t>foretage opslag i patientjournaler m</w:t>
      </w:r>
      <w:r w:rsidR="00094421">
        <w:t>.</w:t>
      </w:r>
      <w:r w:rsidR="00CE23C0">
        <w:t xml:space="preserve">v. med henblik på at se oplysninger om forsøgspersonens helbredsforhold, som er nødvendige for de udenlandske myndigheders kvalitetskontrol som led i behandlingen af en </w:t>
      </w:r>
      <w:r w:rsidR="009A71EF" w:rsidRPr="00577043">
        <w:t>ansøgning om godkendelse af lægemidlet. Der kan være tale om myndigheder i et andet EU land, men også myndigheder i 3. lande, fx FDA i USA (Food and Drug Authority).</w:t>
      </w:r>
    </w:p>
    <w:p w14:paraId="306D67C8" w14:textId="77777777" w:rsidR="00B575E2" w:rsidRDefault="00B575E2" w:rsidP="009A71EF"/>
    <w:p w14:paraId="70334237" w14:textId="77777777" w:rsidR="00296700" w:rsidRDefault="00E0599D" w:rsidP="00E0599D">
      <w:pPr>
        <w:rPr>
          <w:rFonts w:eastAsia="Times New Roman" w:cs="Times New Roman"/>
          <w:color w:val="000000"/>
          <w:lang w:eastAsia="da-DK"/>
        </w:rPr>
      </w:pPr>
      <w:r>
        <w:rPr>
          <w:rFonts w:eastAsia="Times New Roman" w:cs="Times New Roman"/>
          <w:color w:val="000000"/>
          <w:lang w:eastAsia="da-DK"/>
        </w:rPr>
        <w:t>De udenlandske myndigheders</w:t>
      </w:r>
      <w:r w:rsidR="002C218B">
        <w:rPr>
          <w:rFonts w:eastAsia="Times New Roman" w:cs="Times New Roman"/>
          <w:color w:val="000000"/>
          <w:lang w:eastAsia="da-DK"/>
        </w:rPr>
        <w:t xml:space="preserve"> ret til</w:t>
      </w:r>
      <w:r w:rsidR="00656917">
        <w:rPr>
          <w:rFonts w:eastAsia="Times New Roman" w:cs="Times New Roman"/>
          <w:color w:val="000000"/>
          <w:lang w:eastAsia="da-DK"/>
        </w:rPr>
        <w:t xml:space="preserve"> opslag forudsætter, at forsøgsp</w:t>
      </w:r>
      <w:r w:rsidR="002C218B">
        <w:rPr>
          <w:rFonts w:eastAsia="Times New Roman" w:cs="Times New Roman"/>
          <w:color w:val="000000"/>
          <w:lang w:eastAsia="da-DK"/>
        </w:rPr>
        <w:t>ersonen har samtykket hertil.</w:t>
      </w:r>
      <w:r w:rsidR="003A646D">
        <w:rPr>
          <w:rFonts w:eastAsia="Times New Roman" w:cs="Times New Roman"/>
          <w:color w:val="000000"/>
          <w:lang w:eastAsia="da-DK"/>
        </w:rPr>
        <w:t xml:space="preserve"> </w:t>
      </w:r>
      <w:r w:rsidR="003A646D" w:rsidRPr="00577043">
        <w:t xml:space="preserve">Forsøgspersonen </w:t>
      </w:r>
      <w:r>
        <w:t>skal</w:t>
      </w:r>
      <w:r w:rsidR="003A646D" w:rsidRPr="00577043">
        <w:t xml:space="preserve"> </w:t>
      </w:r>
      <w:r w:rsidR="003A646D">
        <w:t xml:space="preserve">således </w:t>
      </w:r>
      <w:r w:rsidR="003A646D" w:rsidRPr="00577043">
        <w:t>gennem deltager</w:t>
      </w:r>
      <w:r w:rsidR="003A646D">
        <w:t xml:space="preserve">informationen </w:t>
      </w:r>
      <w:r w:rsidR="000D7063">
        <w:t xml:space="preserve">før samtykke </w:t>
      </w:r>
      <w:r w:rsidR="003A646D">
        <w:t>orientere</w:t>
      </w:r>
      <w:r>
        <w:t>s</w:t>
      </w:r>
      <w:r w:rsidR="003A646D">
        <w:t>, såfremt</w:t>
      </w:r>
      <w:r w:rsidR="003A646D" w:rsidRPr="00577043">
        <w:t xml:space="preserve"> samtykket </w:t>
      </w:r>
      <w:r w:rsidR="003A646D">
        <w:t>til deltagelse i forsøget omfatter samtykke til udenlandske myndigheders adgang til at se oplysninger i patientjournaler m</w:t>
      </w:r>
      <w:r w:rsidR="00094421">
        <w:t>.</w:t>
      </w:r>
      <w:r w:rsidR="003A646D">
        <w:t>v.</w:t>
      </w:r>
    </w:p>
    <w:p w14:paraId="79801AA8" w14:textId="77777777" w:rsidR="00296700" w:rsidRDefault="00296700" w:rsidP="00296700">
      <w:pPr>
        <w:rPr>
          <w:rFonts w:eastAsia="Times New Roman" w:cs="Times New Roman"/>
          <w:color w:val="000000"/>
          <w:lang w:eastAsia="da-DK"/>
        </w:rPr>
      </w:pPr>
    </w:p>
    <w:p w14:paraId="428BA7C7" w14:textId="77777777" w:rsidR="008D5965" w:rsidRPr="00577043" w:rsidRDefault="008D5965" w:rsidP="009A71EF">
      <w:pPr>
        <w:rPr>
          <w:lang w:eastAsia="da-DK"/>
        </w:rPr>
      </w:pPr>
    </w:p>
    <w:p w14:paraId="02B043CE" w14:textId="77777777" w:rsidR="00CB74B6" w:rsidRPr="00577043" w:rsidRDefault="00CB74B6" w:rsidP="00CB74B6">
      <w:pPr>
        <w:pStyle w:val="Overskrift2"/>
        <w:jc w:val="left"/>
        <w:rPr>
          <w:rFonts w:eastAsia="Times New Roman" w:cs="Times New Roman"/>
          <w:lang w:eastAsia="da-DK"/>
        </w:rPr>
      </w:pPr>
      <w:r w:rsidRPr="00577043">
        <w:rPr>
          <w:rFonts w:eastAsia="Times New Roman" w:cs="Times New Roman"/>
          <w:lang w:eastAsia="da-DK"/>
        </w:rPr>
        <w:t xml:space="preserve">Til § </w:t>
      </w:r>
      <w:r w:rsidR="000F7A50">
        <w:rPr>
          <w:rFonts w:eastAsia="Times New Roman" w:cs="Times New Roman"/>
          <w:lang w:eastAsia="da-DK"/>
        </w:rPr>
        <w:t xml:space="preserve">20 </w:t>
      </w:r>
      <w:r w:rsidRPr="00577043">
        <w:rPr>
          <w:rFonts w:eastAsia="Times New Roman" w:cs="Times New Roman"/>
          <w:lang w:eastAsia="da-DK"/>
        </w:rPr>
        <w:t>[Forsøgslægemidler]</w:t>
      </w:r>
    </w:p>
    <w:p w14:paraId="3F25E664" w14:textId="77777777" w:rsidR="00CB74B6" w:rsidRPr="00577043" w:rsidRDefault="00CB74B6" w:rsidP="00CB74B6">
      <w:pPr>
        <w:rPr>
          <w:rFonts w:eastAsia="Times New Roman" w:cs="Times New Roman"/>
          <w:color w:val="000000"/>
          <w:lang w:eastAsia="da-DK"/>
        </w:rPr>
      </w:pPr>
      <w:r>
        <w:rPr>
          <w:rFonts w:eastAsia="Times New Roman" w:cs="Times New Roman"/>
          <w:color w:val="000000"/>
          <w:lang w:eastAsia="da-DK"/>
        </w:rPr>
        <w:t xml:space="preserve">Den foreslåede § </w:t>
      </w:r>
      <w:r w:rsidR="000F7A50">
        <w:rPr>
          <w:rFonts w:eastAsia="Times New Roman" w:cs="Times New Roman"/>
          <w:color w:val="000000"/>
          <w:lang w:eastAsia="da-DK"/>
        </w:rPr>
        <w:t>20</w:t>
      </w:r>
      <w:r>
        <w:rPr>
          <w:rFonts w:eastAsia="Times New Roman" w:cs="Times New Roman"/>
          <w:color w:val="000000"/>
          <w:lang w:eastAsia="da-DK"/>
        </w:rPr>
        <w:t xml:space="preserve"> </w:t>
      </w:r>
      <w:r w:rsidRPr="00577043">
        <w:rPr>
          <w:rFonts w:eastAsia="Times New Roman" w:cs="Times New Roman"/>
          <w:color w:val="000000"/>
          <w:lang w:eastAsia="da-DK"/>
        </w:rPr>
        <w:t>er en videreførelse af GCP-bekendtgørelsens § 13</w:t>
      </w:r>
      <w:r>
        <w:rPr>
          <w:rFonts w:eastAsia="Times New Roman" w:cs="Times New Roman"/>
          <w:color w:val="000000"/>
          <w:lang w:eastAsia="da-DK"/>
        </w:rPr>
        <w:t>, idet den foreslåede bestemmelse dog er udvidet til også at omfatte hjælpelægemidler og medicinsk udstyr</w:t>
      </w:r>
      <w:r w:rsidRPr="00577043">
        <w:rPr>
          <w:rFonts w:eastAsia="Times New Roman" w:cs="Times New Roman"/>
          <w:color w:val="000000"/>
          <w:lang w:eastAsia="da-DK"/>
        </w:rPr>
        <w:t xml:space="preserve">. Efter forordningens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sidRPr="00577043">
        <w:rPr>
          <w:rFonts w:eastAsia="Times New Roman" w:cs="Times New Roman"/>
          <w:color w:val="000000"/>
          <w:lang w:eastAsia="da-DK"/>
        </w:rPr>
        <w:t xml:space="preserve"> </w:t>
      </w:r>
      <w:r w:rsidRPr="00577043">
        <w:rPr>
          <w:rFonts w:eastAsia="Times New Roman" w:cs="Times New Roman"/>
          <w:color w:val="000000"/>
          <w:lang w:eastAsia="da-DK"/>
        </w:rPr>
        <w:t xml:space="preserve">92 skal forsøgspersonen som altovervejende hovedregel ikke afholde omkostninger i forbindelse med kliniske forsøg til forsøgslægemidler, hjælpelægemidler, medicinsk udstyr, som er nødvendigt for anvendelsen heraf, og procedurer, som er specifikt påkrævet i forsøgsprotokollen. Bestemmelsen i forordningen giver dog medlemsstaterne mulighed for at indføre undtagelser til hovedreglen. </w:t>
      </w:r>
    </w:p>
    <w:p w14:paraId="2C0458C8" w14:textId="77777777" w:rsidR="00CB74B6" w:rsidRPr="00577043" w:rsidRDefault="00CB74B6" w:rsidP="00CB74B6">
      <w:pPr>
        <w:rPr>
          <w:rFonts w:eastAsia="Times New Roman" w:cs="Times New Roman"/>
          <w:color w:val="000000"/>
          <w:lang w:eastAsia="da-DK"/>
        </w:rPr>
      </w:pPr>
    </w:p>
    <w:p w14:paraId="3DCEC1F4" w14:textId="77777777" w:rsidR="00CB74B6" w:rsidRPr="00577043" w:rsidRDefault="00CB74B6" w:rsidP="00CB74B6">
      <w:pPr>
        <w:rPr>
          <w:rFonts w:eastAsia="Times New Roman" w:cs="Times New Roman"/>
          <w:color w:val="000000"/>
          <w:lang w:eastAsia="da-DK"/>
        </w:rPr>
      </w:pPr>
      <w:r w:rsidRPr="00577043">
        <w:rPr>
          <w:rFonts w:eastAsia="Times New Roman" w:cs="Times New Roman"/>
          <w:color w:val="000000"/>
          <w:lang w:eastAsia="da-DK"/>
        </w:rPr>
        <w:t xml:space="preserve">Forsøgspersonen vil således få udleveret forsøgslægemidlet gratis, men </w:t>
      </w:r>
      <w:r>
        <w:rPr>
          <w:rFonts w:eastAsia="Times New Roman" w:cs="Times New Roman"/>
          <w:color w:val="000000"/>
          <w:lang w:eastAsia="da-DK"/>
        </w:rPr>
        <w:t>Lægemiddelstyrelsen</w:t>
      </w:r>
      <w:r w:rsidRPr="00577043">
        <w:rPr>
          <w:rFonts w:eastAsia="Times New Roman" w:cs="Times New Roman"/>
          <w:color w:val="000000"/>
          <w:lang w:eastAsia="da-DK"/>
        </w:rPr>
        <w:t xml:space="preserve"> kan dispensere herfra, hvis formålet med forsøget vil blive forspildt. Der bliver også mulighed for at give dispensation, hvis forsøgslægemidlet anvendes til en indikation, der er omfattet af produktresumeet, og forsøgspersonen er i behandling med lægemidlet uanset deltagelse i forsøget, og forsøgspersonen selv betaler for lægemidlet. </w:t>
      </w:r>
    </w:p>
    <w:p w14:paraId="3FF38A8D" w14:textId="77777777" w:rsidR="00CB74B6" w:rsidRPr="00577043" w:rsidRDefault="00CB74B6" w:rsidP="00CB74B6">
      <w:pPr>
        <w:rPr>
          <w:rFonts w:eastAsia="Times New Roman" w:cs="Times New Roman"/>
          <w:color w:val="000000"/>
          <w:lang w:eastAsia="da-DK"/>
        </w:rPr>
      </w:pPr>
    </w:p>
    <w:p w14:paraId="7D17260D" w14:textId="77777777" w:rsidR="00CB74B6" w:rsidRPr="00577043" w:rsidRDefault="00CB74B6" w:rsidP="00CB74B6">
      <w:pPr>
        <w:rPr>
          <w:rFonts w:eastAsia="Times New Roman" w:cs="Times New Roman"/>
          <w:color w:val="000000"/>
          <w:lang w:eastAsia="da-DK"/>
        </w:rPr>
      </w:pPr>
      <w:r w:rsidRPr="00577043">
        <w:rPr>
          <w:rFonts w:eastAsia="Times New Roman" w:cs="Times New Roman"/>
          <w:color w:val="000000"/>
          <w:lang w:eastAsia="da-DK"/>
        </w:rPr>
        <w:t>I forsøg, der foregår på et hospital, hvor forsøgspersonen i forvejen får lægemidlet gratis som led i behandlingen på et sygehus, kan sponsor indgå en aftale med sygehuset om, at sygehuset afholder udgifterne til lægemidlet i forbindelse med forsøget.</w:t>
      </w:r>
    </w:p>
    <w:p w14:paraId="7C1BB0F6" w14:textId="77777777" w:rsidR="00CB74B6" w:rsidRDefault="00CB74B6" w:rsidP="00CB74B6">
      <w:pPr>
        <w:rPr>
          <w:rFonts w:eastAsia="Times New Roman" w:cs="Times New Roman"/>
          <w:color w:val="000000"/>
          <w:lang w:eastAsia="da-DK"/>
        </w:rPr>
      </w:pPr>
    </w:p>
    <w:p w14:paraId="4D60D177" w14:textId="77777777" w:rsidR="00CB74B6" w:rsidRPr="00E814A4" w:rsidRDefault="00CB74B6" w:rsidP="00CB74B6">
      <w:pPr>
        <w:rPr>
          <w:rFonts w:eastAsia="Times New Roman" w:cs="Times New Roman"/>
          <w:color w:val="000000"/>
          <w:lang w:eastAsia="da-DK"/>
        </w:rPr>
      </w:pPr>
      <w:r w:rsidRPr="00E814A4">
        <w:rPr>
          <w:rFonts w:eastAsia="Times New Roman" w:cs="Times New Roman"/>
          <w:color w:val="000000"/>
          <w:lang w:eastAsia="da-DK"/>
        </w:rPr>
        <w:t>Den gældende bestemmelse omfatter kun forsøgslægemidler. Da forordningen giver mulighed for at udstrække bestemmelsen til også at gælde for hjælpelægemidler og medicinsk udstyr, foreslås disse også omfattet.</w:t>
      </w:r>
    </w:p>
    <w:p w14:paraId="1650A510" w14:textId="77777777" w:rsidR="00CB74B6" w:rsidRPr="00577043" w:rsidRDefault="00CB74B6" w:rsidP="00CB74B6">
      <w:pPr>
        <w:rPr>
          <w:rFonts w:eastAsia="Times New Roman" w:cs="Times New Roman"/>
          <w:color w:val="000000"/>
          <w:lang w:eastAsia="da-DK"/>
        </w:rPr>
      </w:pPr>
    </w:p>
    <w:p w14:paraId="2ED920B1" w14:textId="77777777" w:rsidR="00CB74B6" w:rsidRPr="00577043" w:rsidRDefault="00CB74B6" w:rsidP="00CB74B6">
      <w:pPr>
        <w:rPr>
          <w:rFonts w:eastAsia="Times New Roman" w:cs="Times New Roman"/>
          <w:color w:val="000000"/>
          <w:lang w:eastAsia="da-DK"/>
        </w:rPr>
      </w:pPr>
    </w:p>
    <w:p w14:paraId="5AC803E3" w14:textId="77777777" w:rsidR="00CB74B6" w:rsidRPr="00577043" w:rsidRDefault="00CB74B6" w:rsidP="00CB74B6">
      <w:pPr>
        <w:pStyle w:val="Overskrift2"/>
        <w:jc w:val="left"/>
        <w:rPr>
          <w:rFonts w:eastAsia="Times New Roman" w:cs="Times New Roman"/>
          <w:lang w:eastAsia="da-DK"/>
        </w:rPr>
      </w:pPr>
      <w:r w:rsidRPr="00577043">
        <w:rPr>
          <w:rFonts w:eastAsia="Times New Roman" w:cs="Times New Roman"/>
          <w:lang w:eastAsia="da-DK"/>
        </w:rPr>
        <w:t xml:space="preserve">Til § </w:t>
      </w:r>
      <w:r w:rsidR="000F7A50">
        <w:rPr>
          <w:rFonts w:eastAsia="Times New Roman" w:cs="Times New Roman"/>
          <w:lang w:eastAsia="da-DK"/>
        </w:rPr>
        <w:t>21</w:t>
      </w:r>
      <w:r w:rsidRPr="00577043">
        <w:rPr>
          <w:rFonts w:eastAsia="Times New Roman" w:cs="Times New Roman"/>
          <w:lang w:eastAsia="da-DK"/>
        </w:rPr>
        <w:t xml:space="preserve"> [Sprogkrav til etikker]</w:t>
      </w:r>
    </w:p>
    <w:p w14:paraId="4649F049" w14:textId="77777777" w:rsidR="00CB74B6" w:rsidRPr="00577043" w:rsidRDefault="00CB74B6" w:rsidP="00CB74B6">
      <w:pPr>
        <w:rPr>
          <w:rFonts w:eastAsia="Times New Roman" w:cs="Times New Roman"/>
          <w:color w:val="000000"/>
          <w:lang w:eastAsia="da-DK"/>
        </w:rPr>
      </w:pPr>
      <w:r>
        <w:rPr>
          <w:rFonts w:eastAsia="Times New Roman" w:cs="Times New Roman"/>
          <w:color w:val="000000"/>
          <w:lang w:eastAsia="da-DK"/>
        </w:rPr>
        <w:t xml:space="preserve">Den foreslåede § </w:t>
      </w:r>
      <w:r w:rsidR="000F7A50">
        <w:rPr>
          <w:rFonts w:eastAsia="Times New Roman" w:cs="Times New Roman"/>
          <w:color w:val="000000"/>
          <w:lang w:eastAsia="da-DK"/>
        </w:rPr>
        <w:t>21</w:t>
      </w:r>
      <w:r w:rsidRPr="00577043">
        <w:rPr>
          <w:rFonts w:eastAsia="Times New Roman" w:cs="Times New Roman"/>
          <w:color w:val="000000"/>
          <w:lang w:eastAsia="da-DK"/>
        </w:rPr>
        <w:t xml:space="preserve"> giver sundheds- og ældreministeren hjemmel til at fastsætte sprogkravene til etiketterne. Efter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sidRPr="00577043">
        <w:rPr>
          <w:rFonts w:eastAsia="Times New Roman" w:cs="Times New Roman"/>
          <w:color w:val="000000"/>
          <w:lang w:eastAsia="da-DK"/>
        </w:rPr>
        <w:t xml:space="preserve"> </w:t>
      </w:r>
      <w:r w:rsidRPr="00577043">
        <w:rPr>
          <w:rFonts w:eastAsia="Times New Roman" w:cs="Times New Roman"/>
          <w:color w:val="000000"/>
          <w:lang w:eastAsia="da-DK"/>
        </w:rPr>
        <w:t xml:space="preserve">69 i forordningen skal medlemsstaten fastsætte hvilket sprog, oplysningerne på etiketten skal affattes på. Lægemidlet kan mærkes på flere sprog. </w:t>
      </w:r>
    </w:p>
    <w:p w14:paraId="1D93EBAD" w14:textId="77777777" w:rsidR="00CB74B6" w:rsidRPr="00577043" w:rsidRDefault="00CB74B6" w:rsidP="00CB74B6">
      <w:pPr>
        <w:rPr>
          <w:rFonts w:eastAsia="Times New Roman" w:cs="Times New Roman"/>
          <w:color w:val="000000"/>
          <w:lang w:eastAsia="da-DK"/>
        </w:rPr>
      </w:pPr>
    </w:p>
    <w:p w14:paraId="4EC50671" w14:textId="77777777" w:rsidR="009C24A6" w:rsidRPr="00577043" w:rsidRDefault="009C24A6" w:rsidP="009D0EAF">
      <w:pPr>
        <w:pStyle w:val="Overskrift2"/>
        <w:jc w:val="left"/>
        <w:rPr>
          <w:rFonts w:eastAsia="Times New Roman" w:cs="Times New Roman"/>
          <w:lang w:eastAsia="da-DK"/>
        </w:rPr>
      </w:pPr>
      <w:r w:rsidRPr="00577043">
        <w:rPr>
          <w:rFonts w:eastAsia="Times New Roman" w:cs="Times New Roman"/>
          <w:lang w:eastAsia="da-DK"/>
        </w:rPr>
        <w:t xml:space="preserve">Til §§ </w:t>
      </w:r>
      <w:r w:rsidR="000F7A50">
        <w:rPr>
          <w:rFonts w:eastAsia="Times New Roman" w:cs="Times New Roman"/>
          <w:lang w:eastAsia="da-DK"/>
        </w:rPr>
        <w:t>22-31</w:t>
      </w:r>
      <w:r w:rsidR="002E0A67" w:rsidRPr="00577043">
        <w:rPr>
          <w:rFonts w:eastAsia="Times New Roman" w:cs="Times New Roman"/>
          <w:lang w:eastAsia="da-DK"/>
        </w:rPr>
        <w:t xml:space="preserve"> [Dyr]</w:t>
      </w:r>
    </w:p>
    <w:p w14:paraId="7794F889" w14:textId="77777777" w:rsidR="009C24A6" w:rsidRPr="00577043" w:rsidRDefault="00BA09A8" w:rsidP="00CB2276">
      <w:pPr>
        <w:rPr>
          <w:rFonts w:eastAsia="Times New Roman" w:cs="Times New Roman"/>
          <w:color w:val="000000"/>
          <w:lang w:eastAsia="da-DK"/>
        </w:rPr>
      </w:pPr>
      <w:r>
        <w:t xml:space="preserve">Bestemmelserne i forordningen gælder ikke for dyreforsøg. </w:t>
      </w:r>
      <w:r>
        <w:rPr>
          <w:rFonts w:eastAsia="Times New Roman" w:cs="Times New Roman"/>
          <w:color w:val="000000"/>
          <w:lang w:eastAsia="da-DK"/>
        </w:rPr>
        <w:t>De foreslåede b</w:t>
      </w:r>
      <w:r w:rsidR="009C24A6" w:rsidRPr="00577043">
        <w:rPr>
          <w:rFonts w:eastAsia="Times New Roman" w:cs="Times New Roman"/>
          <w:color w:val="000000"/>
          <w:lang w:eastAsia="da-DK"/>
        </w:rPr>
        <w:t xml:space="preserve">estemmelser er </w:t>
      </w:r>
      <w:r>
        <w:rPr>
          <w:rFonts w:eastAsia="Times New Roman" w:cs="Times New Roman"/>
          <w:color w:val="000000"/>
          <w:lang w:eastAsia="da-DK"/>
        </w:rPr>
        <w:t xml:space="preserve">derfor </w:t>
      </w:r>
      <w:r w:rsidR="009C24A6" w:rsidRPr="00577043">
        <w:rPr>
          <w:rFonts w:eastAsia="Times New Roman" w:cs="Times New Roman"/>
          <w:color w:val="000000"/>
          <w:lang w:eastAsia="da-DK"/>
        </w:rPr>
        <w:t>videreførelser fra de gældende bestemmelser i lægemiddellovens §§ 88 – 92</w:t>
      </w:r>
      <w:r w:rsidR="00CA723E" w:rsidRPr="00577043">
        <w:rPr>
          <w:rFonts w:eastAsia="Times New Roman" w:cs="Times New Roman"/>
          <w:color w:val="000000"/>
          <w:lang w:eastAsia="da-DK"/>
        </w:rPr>
        <w:t xml:space="preserve"> </w:t>
      </w:r>
      <w:r w:rsidR="009C24A6" w:rsidRPr="00577043">
        <w:rPr>
          <w:rFonts w:eastAsia="Times New Roman" w:cs="Times New Roman"/>
          <w:color w:val="000000"/>
          <w:lang w:eastAsia="da-DK"/>
        </w:rPr>
        <w:t xml:space="preserve">a med undtagelse af de bestemmelser, der udelukkende omhandlede kliniske forsøg med mennesker. </w:t>
      </w:r>
    </w:p>
    <w:p w14:paraId="290F97A8" w14:textId="77777777" w:rsidR="009C24A6" w:rsidRPr="00577043" w:rsidRDefault="009C24A6" w:rsidP="00CB2276">
      <w:pPr>
        <w:rPr>
          <w:rFonts w:eastAsia="Times New Roman" w:cs="Times New Roman"/>
          <w:color w:val="000000"/>
          <w:lang w:eastAsia="da-DK"/>
        </w:rPr>
      </w:pPr>
    </w:p>
    <w:p w14:paraId="5639D37C" w14:textId="77777777" w:rsidR="009518C2" w:rsidRDefault="009C24A6" w:rsidP="00CB2276">
      <w:pPr>
        <w:rPr>
          <w:rFonts w:eastAsia="Times New Roman" w:cs="Times New Roman"/>
          <w:color w:val="000000"/>
          <w:lang w:eastAsia="da-DK"/>
        </w:rPr>
      </w:pPr>
      <w:r w:rsidRPr="00577043">
        <w:rPr>
          <w:rFonts w:eastAsia="Times New Roman" w:cs="Times New Roman"/>
          <w:color w:val="000000"/>
          <w:lang w:eastAsia="da-DK"/>
        </w:rPr>
        <w:t xml:space="preserve">Medmindre bestemmelserne i lægemiddellovens §§ 88 – 92 a udtrykkeligt kun regulerer kliniske forsøg med mennesker, er de rettet både mod kliniske forsøg med mennesker og kliniske forsøg med dyr. </w:t>
      </w:r>
    </w:p>
    <w:p w14:paraId="03731285" w14:textId="77777777" w:rsidR="009518C2" w:rsidRDefault="009518C2" w:rsidP="00CB2276">
      <w:pPr>
        <w:rPr>
          <w:rFonts w:eastAsia="Times New Roman" w:cs="Times New Roman"/>
          <w:color w:val="000000"/>
          <w:lang w:eastAsia="da-DK"/>
        </w:rPr>
      </w:pPr>
    </w:p>
    <w:p w14:paraId="709A1CF4" w14:textId="77777777" w:rsidR="009C24A6" w:rsidRDefault="009C24A6" w:rsidP="00CB2276">
      <w:pPr>
        <w:rPr>
          <w:rFonts w:eastAsia="Times New Roman" w:cs="Times New Roman"/>
          <w:color w:val="000000"/>
          <w:lang w:eastAsia="da-DK"/>
        </w:rPr>
      </w:pPr>
      <w:r w:rsidRPr="00577043">
        <w:rPr>
          <w:rFonts w:eastAsia="Times New Roman" w:cs="Times New Roman"/>
          <w:color w:val="000000"/>
          <w:lang w:eastAsia="da-DK"/>
        </w:rPr>
        <w:t>Formuleringerne i denne lov er derfor blevet konsekvensrettet som følge af, at de i modsætning til i dag kun skal regulere kliniske forsøg med dyr. Bestemmelserne medfører ingen indholdsmæssige ændringer i forhold til reglerne i dag.</w:t>
      </w:r>
    </w:p>
    <w:p w14:paraId="6355B606" w14:textId="77777777" w:rsidR="00BA09A8" w:rsidRDefault="00BA09A8" w:rsidP="00CB2276">
      <w:pPr>
        <w:rPr>
          <w:rFonts w:eastAsia="Times New Roman" w:cs="Times New Roman"/>
          <w:color w:val="000000"/>
          <w:lang w:eastAsia="da-DK"/>
        </w:rPr>
      </w:pPr>
    </w:p>
    <w:p w14:paraId="6A34E7E8" w14:textId="77777777" w:rsidR="00BA09A8" w:rsidRDefault="00BA09A8" w:rsidP="00BA09A8">
      <w:r>
        <w:t xml:space="preserve">Som hidtil vil kliniske forsøg med lægemidler først kunne påbegyndes, når </w:t>
      </w:r>
      <w:r w:rsidR="0058651B">
        <w:t>Lægemiddelstyrelsen</w:t>
      </w:r>
      <w:r>
        <w:t xml:space="preserve"> har meddelt tilladelse hertil. Ansøgning herom vil skulle sendes til </w:t>
      </w:r>
      <w:r w:rsidR="0058651B">
        <w:t>Lægemiddelstyrelsen</w:t>
      </w:r>
      <w:r>
        <w:t xml:space="preserve"> på et ansøgningsskema som </w:t>
      </w:r>
      <w:r w:rsidR="0058651B">
        <w:t>Lægemiddelstyrelsen</w:t>
      </w:r>
      <w:r>
        <w:t xml:space="preserve"> gør tilgængeligt. </w:t>
      </w:r>
    </w:p>
    <w:p w14:paraId="0AB1A66C" w14:textId="77777777" w:rsidR="00BA09A8" w:rsidRDefault="00BA09A8" w:rsidP="00BA09A8"/>
    <w:p w14:paraId="5C4A295E" w14:textId="77777777" w:rsidR="00BA09A8" w:rsidRDefault="00BA09A8" w:rsidP="00BA09A8">
      <w:r>
        <w:t xml:space="preserve">Under forsøget vil </w:t>
      </w:r>
      <w:r w:rsidR="0058651B">
        <w:t>Lægemiddelstyrelsen</w:t>
      </w:r>
      <w:r>
        <w:t xml:space="preserve"> kunne kræve forsøget ændret, midlertidigt standset, eller </w:t>
      </w:r>
      <w:r w:rsidR="0058651B">
        <w:t>Lægemiddelstyrelsen</w:t>
      </w:r>
      <w:r>
        <w:t xml:space="preserve"> kan forbyde forsøget. Sundheds- og ældreministeren kan fastsætte nærmere regler herom.</w:t>
      </w:r>
    </w:p>
    <w:p w14:paraId="2421D477" w14:textId="77777777" w:rsidR="00BA09A8" w:rsidRDefault="00BA09A8" w:rsidP="00BA09A8"/>
    <w:p w14:paraId="40E0A07D" w14:textId="77777777" w:rsidR="00BA09A8" w:rsidRDefault="00BA09A8" w:rsidP="00BA09A8">
      <w:r>
        <w:t xml:space="preserve">Hvis </w:t>
      </w:r>
      <w:r w:rsidR="0058651B">
        <w:t>Lægemiddelstyrelsen</w:t>
      </w:r>
      <w:r>
        <w:t xml:space="preserve"> har indsigelser mod ansøgningen har sponsor én mulighed for at foretage ændringer i ansøgningen for at imødekomme </w:t>
      </w:r>
      <w:r w:rsidR="0058651B">
        <w:t>Lægemiddelstyrelsen</w:t>
      </w:r>
      <w:r>
        <w:t>s indsigelser. Der er krav om indberetning af bivirkninger, herunder skærpede krav for indberetning af uventede og alvorlige formodede bivirkninger.</w:t>
      </w:r>
    </w:p>
    <w:p w14:paraId="0479AB4A" w14:textId="77777777" w:rsidR="00BA09A8" w:rsidRDefault="00BA09A8" w:rsidP="00BA09A8">
      <w:r>
        <w:t xml:space="preserve">Ligeledes skal lægemidlerne i et klinisk forsøg med dyr overholde gældende standarder for god fremstillingspraksis. </w:t>
      </w:r>
    </w:p>
    <w:p w14:paraId="4AACDB1F" w14:textId="77777777" w:rsidR="00BA09A8" w:rsidRDefault="00BA09A8" w:rsidP="00BA09A8"/>
    <w:p w14:paraId="645F18AA" w14:textId="77777777" w:rsidR="00BA09A8" w:rsidRDefault="00BA09A8" w:rsidP="00BA09A8">
      <w:pPr>
        <w:rPr>
          <w:rFonts w:eastAsia="Times New Roman" w:cs="Times New Roman"/>
          <w:color w:val="000000"/>
          <w:lang w:eastAsia="da-DK"/>
        </w:rPr>
      </w:pPr>
      <w:r>
        <w:t>Som hidtil kan sundheds- og ældreministeren fastsætte nærmere regler om indberetning af bivirkninger, sponsors pligt til at underrette andre, herunder lægemiddelmyndigheder i andre EU/EØS lande samt regler om fremstilling, import, mærkning, distribution og kontrol med lægemidler til kliniske forsøg med dyr.</w:t>
      </w:r>
    </w:p>
    <w:p w14:paraId="2F421AE2" w14:textId="77777777" w:rsidR="00BA09A8" w:rsidRPr="00577043" w:rsidRDefault="00BA09A8" w:rsidP="00CB2276">
      <w:pPr>
        <w:rPr>
          <w:rFonts w:eastAsia="Times New Roman" w:cs="Times New Roman"/>
          <w:color w:val="000000"/>
          <w:lang w:eastAsia="da-DK"/>
        </w:rPr>
      </w:pPr>
    </w:p>
    <w:p w14:paraId="160E23E0" w14:textId="77777777" w:rsidR="009C24A6" w:rsidRPr="00577043" w:rsidRDefault="009C24A6" w:rsidP="00CB2276">
      <w:pPr>
        <w:rPr>
          <w:rFonts w:eastAsia="Times New Roman" w:cs="Times New Roman"/>
          <w:color w:val="000000"/>
          <w:lang w:eastAsia="da-DK"/>
        </w:rPr>
      </w:pPr>
    </w:p>
    <w:p w14:paraId="3782FEB3" w14:textId="77777777" w:rsidR="00284AE8" w:rsidRPr="00577043" w:rsidRDefault="003D1DA8" w:rsidP="009D0EAF">
      <w:pPr>
        <w:pStyle w:val="Overskrift2"/>
        <w:jc w:val="left"/>
        <w:rPr>
          <w:rFonts w:eastAsia="Times New Roman" w:cs="Times New Roman"/>
          <w:lang w:eastAsia="da-DK"/>
        </w:rPr>
      </w:pPr>
      <w:r w:rsidRPr="00577043">
        <w:rPr>
          <w:rFonts w:eastAsia="Times New Roman" w:cs="Times New Roman"/>
          <w:lang w:eastAsia="da-DK"/>
        </w:rPr>
        <w:t xml:space="preserve">Til §. </w:t>
      </w:r>
      <w:r w:rsidR="000F7A50">
        <w:rPr>
          <w:rFonts w:eastAsia="Times New Roman" w:cs="Times New Roman"/>
          <w:lang w:eastAsia="da-DK"/>
        </w:rPr>
        <w:t>32</w:t>
      </w:r>
      <w:r w:rsidR="00284AE8" w:rsidRPr="00577043">
        <w:rPr>
          <w:rFonts w:eastAsia="Times New Roman" w:cs="Times New Roman"/>
          <w:lang w:eastAsia="da-DK"/>
        </w:rPr>
        <w:t xml:space="preserve"> [Klageadgang]</w:t>
      </w:r>
      <w:r w:rsidR="00284AE8" w:rsidRPr="00577043">
        <w:rPr>
          <w:rFonts w:eastAsia="Times New Roman" w:cs="Times New Roman"/>
          <w:lang w:eastAsia="da-DK"/>
        </w:rPr>
        <w:tab/>
      </w:r>
    </w:p>
    <w:p w14:paraId="3771E6F4" w14:textId="77777777" w:rsidR="003229EF" w:rsidRPr="00577043" w:rsidRDefault="003229EF" w:rsidP="003229EF">
      <w:pPr>
        <w:rPr>
          <w:rFonts w:eastAsia="Times New Roman" w:cs="Times New Roman"/>
          <w:color w:val="000000"/>
          <w:lang w:eastAsia="da-DK"/>
        </w:rPr>
      </w:pPr>
      <w:r w:rsidRPr="00577043">
        <w:rPr>
          <w:rFonts w:eastAsia="Times New Roman" w:cs="Times New Roman"/>
          <w:color w:val="000000"/>
          <w:lang w:eastAsia="da-DK"/>
        </w:rPr>
        <w:t xml:space="preserve">Det foreslås med § </w:t>
      </w:r>
      <w:r w:rsidR="0056787D">
        <w:rPr>
          <w:rFonts w:eastAsia="Times New Roman" w:cs="Times New Roman"/>
          <w:color w:val="000000"/>
          <w:lang w:eastAsia="da-DK"/>
        </w:rPr>
        <w:t>32</w:t>
      </w:r>
      <w:r w:rsidRPr="00577043">
        <w:rPr>
          <w:rFonts w:eastAsia="Times New Roman" w:cs="Times New Roman"/>
          <w:color w:val="000000"/>
          <w:lang w:eastAsia="da-DK"/>
        </w:rPr>
        <w:t xml:space="preserve">, at sponsor kan indbringe en afgørelse fra </w:t>
      </w:r>
      <w:r w:rsidR="0058651B">
        <w:rPr>
          <w:rFonts w:eastAsia="Times New Roman" w:cs="Times New Roman"/>
          <w:color w:val="000000"/>
          <w:lang w:eastAsia="da-DK"/>
        </w:rPr>
        <w:t>Lægemiddelstyrelsen</w:t>
      </w:r>
      <w:r w:rsidRPr="00577043">
        <w:rPr>
          <w:rFonts w:eastAsia="Times New Roman" w:cs="Times New Roman"/>
          <w:color w:val="000000"/>
          <w:lang w:eastAsia="da-DK"/>
        </w:rPr>
        <w:t xml:space="preserve"> efter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sidRPr="00577043">
        <w:rPr>
          <w:rFonts w:eastAsia="Times New Roman" w:cs="Times New Roman"/>
          <w:color w:val="000000"/>
          <w:lang w:eastAsia="da-DK"/>
        </w:rPr>
        <w:t xml:space="preserve"> </w:t>
      </w:r>
      <w:r w:rsidRPr="00577043">
        <w:rPr>
          <w:rFonts w:eastAsia="Times New Roman" w:cs="Times New Roman"/>
          <w:color w:val="000000"/>
          <w:lang w:eastAsia="da-DK"/>
        </w:rPr>
        <w:t xml:space="preserve">8, stk. 4,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sidRPr="00577043">
        <w:rPr>
          <w:rFonts w:eastAsia="Times New Roman" w:cs="Times New Roman"/>
          <w:color w:val="000000"/>
          <w:lang w:eastAsia="da-DK"/>
        </w:rPr>
        <w:t xml:space="preserve"> </w:t>
      </w:r>
      <w:r w:rsidRPr="00577043">
        <w:rPr>
          <w:rFonts w:eastAsia="Times New Roman" w:cs="Times New Roman"/>
          <w:color w:val="000000"/>
          <w:lang w:eastAsia="da-DK"/>
        </w:rPr>
        <w:t xml:space="preserve">14, stk. 10,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sidRPr="00577043">
        <w:rPr>
          <w:rFonts w:eastAsia="Times New Roman" w:cs="Times New Roman"/>
          <w:color w:val="000000"/>
          <w:lang w:eastAsia="da-DK"/>
        </w:rPr>
        <w:t xml:space="preserve"> </w:t>
      </w:r>
      <w:r w:rsidRPr="00577043">
        <w:rPr>
          <w:rFonts w:eastAsia="Times New Roman" w:cs="Times New Roman"/>
          <w:color w:val="000000"/>
          <w:lang w:eastAsia="da-DK"/>
        </w:rPr>
        <w:t xml:space="preserve">19, stk. 2, eller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sidRPr="00577043">
        <w:rPr>
          <w:rFonts w:eastAsia="Times New Roman" w:cs="Times New Roman"/>
          <w:color w:val="000000"/>
          <w:lang w:eastAsia="da-DK"/>
        </w:rPr>
        <w:t xml:space="preserve"> </w:t>
      </w:r>
      <w:r w:rsidRPr="00577043">
        <w:rPr>
          <w:rFonts w:eastAsia="Times New Roman" w:cs="Times New Roman"/>
          <w:color w:val="000000"/>
          <w:lang w:eastAsia="da-DK"/>
        </w:rPr>
        <w:t xml:space="preserve">23, stk. 4, for </w:t>
      </w:r>
      <w:r w:rsidR="00A22EAD" w:rsidRPr="00577043">
        <w:rPr>
          <w:rFonts w:eastAsia="Times New Roman" w:cs="Times New Roman"/>
          <w:color w:val="000000"/>
          <w:lang w:eastAsia="da-DK"/>
        </w:rPr>
        <w:t>Sundheds- og Ældreministeriet</w:t>
      </w:r>
      <w:r w:rsidRPr="00577043">
        <w:rPr>
          <w:rFonts w:eastAsia="Times New Roman" w:cs="Times New Roman"/>
          <w:color w:val="000000"/>
          <w:lang w:eastAsia="da-DK"/>
        </w:rPr>
        <w:t xml:space="preserve">. Ligeledes kan sponsor indbringe den videnskabsetiske lægemiddelkomités afgørelse efter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sidRPr="00577043">
        <w:rPr>
          <w:rFonts w:eastAsia="Times New Roman" w:cs="Times New Roman"/>
          <w:color w:val="000000"/>
          <w:lang w:eastAsia="da-DK"/>
        </w:rPr>
        <w:t xml:space="preserve"> </w:t>
      </w:r>
      <w:r w:rsidRPr="00577043">
        <w:rPr>
          <w:rFonts w:eastAsia="Times New Roman" w:cs="Times New Roman"/>
          <w:color w:val="000000"/>
          <w:lang w:eastAsia="da-DK"/>
        </w:rPr>
        <w:t>8, stk. 1, ell</w:t>
      </w:r>
      <w:r w:rsidR="00B035EF" w:rsidRPr="00577043">
        <w:rPr>
          <w:rFonts w:eastAsia="Times New Roman" w:cs="Times New Roman"/>
          <w:color w:val="000000"/>
          <w:lang w:eastAsia="da-DK"/>
        </w:rPr>
        <w:t xml:space="preserve">er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Pr>
          <w:rFonts w:eastAsia="Times New Roman" w:cs="Times New Roman"/>
          <w:color w:val="000000"/>
          <w:lang w:eastAsia="da-DK"/>
        </w:rPr>
        <w:t xml:space="preserve"> </w:t>
      </w:r>
      <w:r w:rsidR="00B035EF" w:rsidRPr="00577043">
        <w:rPr>
          <w:rFonts w:eastAsia="Times New Roman" w:cs="Times New Roman"/>
          <w:color w:val="000000"/>
          <w:lang w:eastAsia="da-DK"/>
        </w:rPr>
        <w:t xml:space="preserve">20, stk. </w:t>
      </w:r>
      <w:r w:rsidR="007B040B">
        <w:rPr>
          <w:rFonts w:eastAsia="Times New Roman" w:cs="Times New Roman"/>
          <w:color w:val="000000"/>
          <w:lang w:eastAsia="da-DK"/>
        </w:rPr>
        <w:t>7</w:t>
      </w:r>
      <w:r w:rsidR="00B035EF" w:rsidRPr="00577043">
        <w:rPr>
          <w:rFonts w:eastAsia="Times New Roman" w:cs="Times New Roman"/>
          <w:color w:val="000000"/>
          <w:lang w:eastAsia="da-DK"/>
        </w:rPr>
        <w:t xml:space="preserve">, </w:t>
      </w:r>
      <w:r w:rsidRPr="00577043">
        <w:rPr>
          <w:rFonts w:eastAsia="Times New Roman" w:cs="Times New Roman"/>
          <w:color w:val="000000"/>
          <w:lang w:eastAsia="da-DK"/>
        </w:rPr>
        <w:t xml:space="preserve">når en ansøgning alene vedrører aspekter, der er omfattet af del II af vurderingsrapporten, for </w:t>
      </w:r>
      <w:r w:rsidR="00A22EAD" w:rsidRPr="00577043">
        <w:rPr>
          <w:rFonts w:eastAsia="Times New Roman" w:cs="Times New Roman"/>
          <w:color w:val="000000"/>
          <w:lang w:eastAsia="da-DK"/>
        </w:rPr>
        <w:t>Sundheds- og Ældreministeriet</w:t>
      </w:r>
      <w:r w:rsidRPr="00577043">
        <w:rPr>
          <w:rFonts w:eastAsia="Times New Roman" w:cs="Times New Roman"/>
          <w:color w:val="000000"/>
          <w:lang w:eastAsia="da-DK"/>
        </w:rPr>
        <w:t>.</w:t>
      </w:r>
    </w:p>
    <w:p w14:paraId="27B5F4E3" w14:textId="77777777" w:rsidR="003229EF" w:rsidRPr="00577043" w:rsidRDefault="003229EF" w:rsidP="003229EF">
      <w:pPr>
        <w:rPr>
          <w:rFonts w:eastAsia="Times New Roman" w:cs="Times New Roman"/>
          <w:color w:val="000000"/>
          <w:lang w:eastAsia="da-DK"/>
        </w:rPr>
      </w:pPr>
      <w:r w:rsidRPr="00577043">
        <w:rPr>
          <w:rFonts w:eastAsia="Times New Roman" w:cs="Times New Roman"/>
          <w:color w:val="000000"/>
          <w:lang w:eastAsia="da-DK"/>
        </w:rPr>
        <w:t xml:space="preserve"> </w:t>
      </w:r>
    </w:p>
    <w:p w14:paraId="0A805E91" w14:textId="77777777" w:rsidR="00CA43D7" w:rsidRDefault="003E55E3" w:rsidP="003229EF">
      <w:pPr>
        <w:rPr>
          <w:rFonts w:eastAsia="Times New Roman" w:cs="Times New Roman"/>
          <w:color w:val="000000"/>
          <w:lang w:eastAsia="da-DK"/>
        </w:rPr>
      </w:pPr>
      <w:r>
        <w:rPr>
          <w:rFonts w:eastAsia="Times New Roman" w:cs="Times New Roman"/>
          <w:color w:val="000000"/>
          <w:lang w:eastAsia="da-DK"/>
        </w:rPr>
        <w:t>Ifølge forslaget kan</w:t>
      </w:r>
      <w:r w:rsidR="00D205FC">
        <w:rPr>
          <w:rFonts w:eastAsia="Times New Roman" w:cs="Times New Roman"/>
          <w:color w:val="000000"/>
          <w:lang w:eastAsia="da-DK"/>
        </w:rPr>
        <w:t xml:space="preserve"> afgørelsen alene behandles for så vidt angår retlige forhold. </w:t>
      </w:r>
      <w:r w:rsidR="004E2686">
        <w:rPr>
          <w:rFonts w:eastAsia="Times New Roman" w:cs="Times New Roman"/>
          <w:color w:val="000000"/>
          <w:lang w:eastAsia="da-DK"/>
        </w:rPr>
        <w:t xml:space="preserve"> </w:t>
      </w:r>
      <w:r w:rsidR="003229EF" w:rsidRPr="00577043">
        <w:rPr>
          <w:rFonts w:eastAsia="Times New Roman" w:cs="Times New Roman"/>
          <w:color w:val="000000"/>
          <w:lang w:eastAsia="da-DK"/>
        </w:rPr>
        <w:t xml:space="preserve">Ministeriet vil </w:t>
      </w:r>
      <w:r w:rsidR="00FC460A">
        <w:rPr>
          <w:rFonts w:eastAsia="Times New Roman" w:cs="Times New Roman"/>
          <w:color w:val="000000"/>
          <w:lang w:eastAsia="da-DK"/>
        </w:rPr>
        <w:t>dermed</w:t>
      </w:r>
      <w:r w:rsidR="003229EF" w:rsidRPr="00577043">
        <w:rPr>
          <w:rFonts w:eastAsia="Times New Roman" w:cs="Times New Roman"/>
          <w:color w:val="000000"/>
          <w:lang w:eastAsia="da-DK"/>
        </w:rPr>
        <w:t xml:space="preserve"> ikke kunne tage stilling til </w:t>
      </w:r>
      <w:r w:rsidR="00BB70B3">
        <w:rPr>
          <w:rFonts w:eastAsia="Times New Roman" w:cs="Times New Roman"/>
          <w:color w:val="000000"/>
          <w:lang w:eastAsia="da-DK"/>
        </w:rPr>
        <w:t>hensigtsmæssigheden af det skøn</w:t>
      </w:r>
      <w:r>
        <w:rPr>
          <w:rFonts w:eastAsia="Times New Roman" w:cs="Times New Roman"/>
          <w:color w:val="000000"/>
          <w:lang w:eastAsia="da-DK"/>
        </w:rPr>
        <w:t xml:space="preserve">, som </w:t>
      </w:r>
      <w:r w:rsidR="0058651B">
        <w:rPr>
          <w:rFonts w:eastAsia="Times New Roman" w:cs="Times New Roman"/>
          <w:color w:val="000000"/>
          <w:lang w:eastAsia="da-DK"/>
        </w:rPr>
        <w:t>Lægemiddelstyrelsen</w:t>
      </w:r>
      <w:r w:rsidR="003B4D84">
        <w:rPr>
          <w:rFonts w:eastAsia="Times New Roman" w:cs="Times New Roman"/>
          <w:color w:val="000000"/>
          <w:lang w:eastAsia="da-DK"/>
        </w:rPr>
        <w:t>s og den videnskabsetiske lægemiddelkomité</w:t>
      </w:r>
      <w:r>
        <w:rPr>
          <w:rFonts w:eastAsia="Times New Roman" w:cs="Times New Roman"/>
          <w:color w:val="000000"/>
          <w:lang w:eastAsia="da-DK"/>
        </w:rPr>
        <w:t xml:space="preserve"> har foretaget</w:t>
      </w:r>
      <w:r w:rsidR="00BB70B3">
        <w:rPr>
          <w:rFonts w:eastAsia="Times New Roman" w:cs="Times New Roman"/>
          <w:color w:val="000000"/>
          <w:lang w:eastAsia="da-DK"/>
        </w:rPr>
        <w:t xml:space="preserve">, </w:t>
      </w:r>
      <w:r w:rsidR="00CA43D7">
        <w:rPr>
          <w:rFonts w:eastAsia="Times New Roman" w:cs="Times New Roman"/>
          <w:color w:val="000000"/>
          <w:lang w:eastAsia="da-DK"/>
        </w:rPr>
        <w:t>herunder</w:t>
      </w:r>
      <w:r>
        <w:rPr>
          <w:rFonts w:eastAsia="Times New Roman" w:cs="Times New Roman"/>
          <w:color w:val="000000"/>
          <w:lang w:eastAsia="da-DK"/>
        </w:rPr>
        <w:t xml:space="preserve"> </w:t>
      </w:r>
      <w:r w:rsidR="00BB70B3">
        <w:rPr>
          <w:rFonts w:eastAsia="Times New Roman" w:cs="Times New Roman"/>
          <w:color w:val="000000"/>
          <w:lang w:eastAsia="da-DK"/>
        </w:rPr>
        <w:t>de overvejelser</w:t>
      </w:r>
      <w:r>
        <w:rPr>
          <w:rFonts w:eastAsia="Times New Roman" w:cs="Times New Roman"/>
          <w:color w:val="000000"/>
          <w:lang w:eastAsia="da-DK"/>
        </w:rPr>
        <w:t xml:space="preserve"> </w:t>
      </w:r>
      <w:r w:rsidR="00097086">
        <w:rPr>
          <w:rFonts w:eastAsia="Times New Roman" w:cs="Times New Roman"/>
          <w:color w:val="000000"/>
          <w:lang w:eastAsia="da-DK"/>
        </w:rPr>
        <w:t>om</w:t>
      </w:r>
      <w:r>
        <w:rPr>
          <w:rFonts w:eastAsia="Times New Roman" w:cs="Times New Roman"/>
          <w:color w:val="000000"/>
          <w:lang w:eastAsia="da-DK"/>
        </w:rPr>
        <w:t xml:space="preserve"> forsøgspersonens sikkerhed og dataenes </w:t>
      </w:r>
      <w:r>
        <w:rPr>
          <w:rFonts w:eastAsia="Times New Roman" w:cs="Times New Roman"/>
          <w:color w:val="000000"/>
          <w:lang w:eastAsia="da-DK"/>
        </w:rPr>
        <w:lastRenderedPageBreak/>
        <w:t xml:space="preserve">pålidelighed og robusthed, </w:t>
      </w:r>
      <w:r w:rsidR="00BB70B3">
        <w:rPr>
          <w:rFonts w:eastAsia="Times New Roman" w:cs="Times New Roman"/>
          <w:color w:val="000000"/>
          <w:lang w:eastAsia="da-DK"/>
        </w:rPr>
        <w:t xml:space="preserve">som skal indgå i vurderingen af en ansøgning, jf.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Pr>
          <w:rFonts w:eastAsia="Times New Roman" w:cs="Times New Roman"/>
          <w:color w:val="000000"/>
          <w:lang w:eastAsia="da-DK"/>
        </w:rPr>
        <w:t xml:space="preserve"> </w:t>
      </w:r>
      <w:r w:rsidR="00BB70B3">
        <w:rPr>
          <w:rFonts w:eastAsia="Times New Roman" w:cs="Times New Roman"/>
          <w:color w:val="000000"/>
          <w:lang w:eastAsia="da-DK"/>
        </w:rPr>
        <w:t xml:space="preserve">6 i forordningen, og som kan være </w:t>
      </w:r>
      <w:r w:rsidR="00CA43D7">
        <w:rPr>
          <w:rFonts w:eastAsia="Times New Roman" w:cs="Times New Roman"/>
          <w:color w:val="000000"/>
          <w:lang w:eastAsia="da-DK"/>
        </w:rPr>
        <w:t>begrundelse for</w:t>
      </w:r>
      <w:r w:rsidR="00BB70B3">
        <w:rPr>
          <w:rFonts w:eastAsia="Times New Roman" w:cs="Times New Roman"/>
          <w:color w:val="000000"/>
          <w:lang w:eastAsia="da-DK"/>
        </w:rPr>
        <w:t>, at en medlemsstat kan afvise en ansøgning</w:t>
      </w:r>
      <w:r w:rsidR="00BB70B3" w:rsidRPr="00BB70B3">
        <w:rPr>
          <w:rFonts w:eastAsia="Times New Roman" w:cs="Times New Roman"/>
          <w:color w:val="000000"/>
          <w:lang w:eastAsia="da-DK"/>
        </w:rPr>
        <w:t xml:space="preserve"> </w:t>
      </w:r>
      <w:r w:rsidR="00BB70B3">
        <w:rPr>
          <w:rFonts w:eastAsia="Times New Roman" w:cs="Times New Roman"/>
          <w:color w:val="000000"/>
          <w:lang w:eastAsia="da-DK"/>
        </w:rPr>
        <w:t xml:space="preserve">jf.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Pr>
          <w:rFonts w:eastAsia="Times New Roman" w:cs="Times New Roman"/>
          <w:color w:val="000000"/>
          <w:lang w:eastAsia="da-DK"/>
        </w:rPr>
        <w:t xml:space="preserve"> </w:t>
      </w:r>
      <w:r w:rsidR="00BB70B3">
        <w:rPr>
          <w:rFonts w:eastAsia="Times New Roman" w:cs="Times New Roman"/>
          <w:color w:val="000000"/>
          <w:lang w:eastAsia="da-DK"/>
        </w:rPr>
        <w:t>8, stk. 2, litra c</w:t>
      </w:r>
      <w:r>
        <w:rPr>
          <w:rFonts w:eastAsia="Times New Roman" w:cs="Times New Roman"/>
          <w:color w:val="000000"/>
          <w:lang w:eastAsia="da-DK"/>
        </w:rPr>
        <w:t xml:space="preserve">. </w:t>
      </w:r>
    </w:p>
    <w:p w14:paraId="79B899B1" w14:textId="77777777" w:rsidR="00CA43D7" w:rsidRDefault="00CA43D7" w:rsidP="003229EF">
      <w:pPr>
        <w:rPr>
          <w:rFonts w:eastAsia="Times New Roman" w:cs="Times New Roman"/>
          <w:color w:val="000000"/>
          <w:lang w:eastAsia="da-DK"/>
        </w:rPr>
      </w:pPr>
    </w:p>
    <w:p w14:paraId="39ED2445" w14:textId="77777777" w:rsidR="00BB70B3" w:rsidRDefault="003E55E3" w:rsidP="003229EF">
      <w:pPr>
        <w:rPr>
          <w:rFonts w:eastAsia="Times New Roman" w:cs="Times New Roman"/>
          <w:color w:val="000000"/>
          <w:lang w:eastAsia="da-DK"/>
        </w:rPr>
      </w:pPr>
      <w:r>
        <w:rPr>
          <w:rFonts w:eastAsia="Times New Roman" w:cs="Times New Roman"/>
          <w:color w:val="000000"/>
          <w:lang w:eastAsia="da-DK"/>
        </w:rPr>
        <w:t xml:space="preserve">Baggrunden </w:t>
      </w:r>
      <w:r w:rsidR="00BB70B3">
        <w:rPr>
          <w:rFonts w:eastAsia="Times New Roman" w:cs="Times New Roman"/>
          <w:color w:val="000000"/>
          <w:lang w:eastAsia="da-DK"/>
        </w:rPr>
        <w:t xml:space="preserve">for </w:t>
      </w:r>
      <w:r w:rsidR="00CA43D7">
        <w:rPr>
          <w:rFonts w:eastAsia="Times New Roman" w:cs="Times New Roman"/>
          <w:color w:val="000000"/>
          <w:lang w:eastAsia="da-DK"/>
        </w:rPr>
        <w:t>at afgrænse appelmuligheden til retlige forhold er</w:t>
      </w:r>
      <w:r>
        <w:rPr>
          <w:rFonts w:eastAsia="Times New Roman" w:cs="Times New Roman"/>
          <w:color w:val="000000"/>
          <w:lang w:eastAsia="da-DK"/>
        </w:rPr>
        <w:t>, at</w:t>
      </w:r>
      <w:r w:rsidR="003229EF" w:rsidRPr="00577043">
        <w:rPr>
          <w:rFonts w:eastAsia="Times New Roman" w:cs="Times New Roman"/>
          <w:color w:val="000000"/>
          <w:lang w:eastAsia="da-DK"/>
        </w:rPr>
        <w:t xml:space="preserve"> </w:t>
      </w:r>
      <w:r w:rsidR="0058651B">
        <w:rPr>
          <w:rFonts w:eastAsia="Times New Roman" w:cs="Times New Roman"/>
          <w:color w:val="000000"/>
          <w:lang w:eastAsia="da-DK"/>
        </w:rPr>
        <w:t>Lægemiddelstyrelsen</w:t>
      </w:r>
      <w:r w:rsidR="003229EF" w:rsidRPr="00577043">
        <w:rPr>
          <w:rFonts w:eastAsia="Times New Roman" w:cs="Times New Roman"/>
          <w:color w:val="000000"/>
          <w:lang w:eastAsia="da-DK"/>
        </w:rPr>
        <w:t xml:space="preserve"> og de videnskabsetiske lægemiddelkomiteer besidder den højeste sagkundskab i relation til </w:t>
      </w:r>
      <w:r w:rsidR="00DA12D4" w:rsidRPr="00577043">
        <w:rPr>
          <w:rFonts w:eastAsia="Times New Roman" w:cs="Times New Roman"/>
          <w:color w:val="000000"/>
          <w:lang w:eastAsia="da-DK"/>
        </w:rPr>
        <w:t xml:space="preserve">hhv. </w:t>
      </w:r>
      <w:r w:rsidR="003229EF" w:rsidRPr="00577043">
        <w:rPr>
          <w:rFonts w:eastAsia="Times New Roman" w:cs="Times New Roman"/>
          <w:color w:val="000000"/>
          <w:lang w:eastAsia="da-DK"/>
        </w:rPr>
        <w:t xml:space="preserve">de sundhedsfaglige og videnskabsetiske aspekter, som en ansøgning </w:t>
      </w:r>
      <w:r w:rsidR="00097086">
        <w:rPr>
          <w:rFonts w:eastAsia="Times New Roman" w:cs="Times New Roman"/>
          <w:color w:val="000000"/>
          <w:lang w:eastAsia="da-DK"/>
        </w:rPr>
        <w:t>om</w:t>
      </w:r>
      <w:r w:rsidR="003229EF" w:rsidRPr="00577043">
        <w:rPr>
          <w:rFonts w:eastAsia="Times New Roman" w:cs="Times New Roman"/>
          <w:color w:val="000000"/>
          <w:lang w:eastAsia="da-DK"/>
        </w:rPr>
        <w:t xml:space="preserve"> kliniske forsøg med lægemidler rummer. </w:t>
      </w:r>
      <w:r w:rsidR="00CA43D7">
        <w:rPr>
          <w:rFonts w:eastAsia="Times New Roman" w:cs="Times New Roman"/>
          <w:color w:val="000000"/>
          <w:lang w:eastAsia="da-DK"/>
        </w:rPr>
        <w:t>Sundheds- og Ældreministeriet eller andre myndigheder har med andre ord ikke den faglige kompetence til at prøve hensigtsmæssigheden af det skøn, som ligger til grund for en afgørelse.</w:t>
      </w:r>
    </w:p>
    <w:p w14:paraId="59954667" w14:textId="77777777" w:rsidR="00BB70B3" w:rsidRDefault="00BB70B3" w:rsidP="003229EF">
      <w:pPr>
        <w:rPr>
          <w:rFonts w:eastAsia="Times New Roman" w:cs="Times New Roman"/>
          <w:color w:val="000000"/>
          <w:lang w:eastAsia="da-DK"/>
        </w:rPr>
      </w:pPr>
    </w:p>
    <w:p w14:paraId="4EBAC75E" w14:textId="77777777" w:rsidR="003229EF" w:rsidRPr="00577043" w:rsidRDefault="00FC460A" w:rsidP="003229EF">
      <w:pPr>
        <w:rPr>
          <w:rFonts w:eastAsia="Times New Roman" w:cs="Times New Roman"/>
          <w:color w:val="000000"/>
          <w:lang w:eastAsia="da-DK"/>
        </w:rPr>
      </w:pPr>
      <w:r w:rsidRPr="00577043">
        <w:rPr>
          <w:rFonts w:eastAsia="Times New Roman" w:cs="Times New Roman"/>
          <w:color w:val="000000"/>
          <w:lang w:eastAsia="da-DK"/>
        </w:rPr>
        <w:t xml:space="preserve">Ministeriet kan </w:t>
      </w:r>
      <w:r w:rsidR="00CA43D7">
        <w:rPr>
          <w:rFonts w:eastAsia="Times New Roman" w:cs="Times New Roman"/>
          <w:color w:val="000000"/>
          <w:lang w:eastAsia="da-DK"/>
        </w:rPr>
        <w:t xml:space="preserve">derimod </w:t>
      </w:r>
      <w:r w:rsidRPr="00577043">
        <w:rPr>
          <w:rFonts w:eastAsia="Times New Roman" w:cs="Times New Roman"/>
          <w:color w:val="000000"/>
          <w:lang w:eastAsia="da-DK"/>
        </w:rPr>
        <w:t xml:space="preserve">tage stilling til lovligheden af en afgørelse, </w:t>
      </w:r>
      <w:r w:rsidR="003E55E3">
        <w:rPr>
          <w:rFonts w:eastAsia="Times New Roman" w:cs="Times New Roman"/>
          <w:color w:val="000000"/>
          <w:lang w:eastAsia="da-DK"/>
        </w:rPr>
        <w:t>herunder</w:t>
      </w:r>
      <w:r w:rsidRPr="00577043">
        <w:rPr>
          <w:rFonts w:eastAsia="Times New Roman" w:cs="Times New Roman"/>
          <w:color w:val="000000"/>
          <w:lang w:eastAsia="da-DK"/>
        </w:rPr>
        <w:t xml:space="preserve"> spørgsmål om afgørelsen</w:t>
      </w:r>
      <w:r w:rsidR="003E55E3">
        <w:rPr>
          <w:rFonts w:eastAsia="Times New Roman" w:cs="Times New Roman"/>
          <w:color w:val="000000"/>
          <w:lang w:eastAsia="da-DK"/>
        </w:rPr>
        <w:t xml:space="preserve"> er i overensstemmelse med forordningens regler</w:t>
      </w:r>
      <w:r>
        <w:rPr>
          <w:rFonts w:eastAsia="Times New Roman" w:cs="Times New Roman"/>
          <w:color w:val="000000"/>
          <w:lang w:eastAsia="da-DK"/>
        </w:rPr>
        <w:t xml:space="preserve"> </w:t>
      </w:r>
      <w:r w:rsidR="00744C3A">
        <w:rPr>
          <w:rFonts w:eastAsia="Times New Roman" w:cs="Times New Roman"/>
          <w:color w:val="000000"/>
          <w:lang w:eastAsia="da-DK"/>
        </w:rPr>
        <w:t xml:space="preserve">og i den forbindelse om forordningens regler er fortolket korrekt, </w:t>
      </w:r>
      <w:r>
        <w:rPr>
          <w:rFonts w:eastAsia="Times New Roman" w:cs="Times New Roman"/>
          <w:color w:val="000000"/>
          <w:lang w:eastAsia="da-DK"/>
        </w:rPr>
        <w:t>og om</w:t>
      </w:r>
      <w:r w:rsidRPr="00577043">
        <w:rPr>
          <w:rFonts w:eastAsia="Times New Roman" w:cs="Times New Roman"/>
          <w:color w:val="000000"/>
          <w:lang w:eastAsia="da-DK"/>
        </w:rPr>
        <w:t xml:space="preserve"> hvorvidt gældende </w:t>
      </w:r>
      <w:r>
        <w:rPr>
          <w:rFonts w:eastAsia="Times New Roman" w:cs="Times New Roman"/>
          <w:color w:val="000000"/>
          <w:lang w:eastAsia="da-DK"/>
        </w:rPr>
        <w:t>forvaltningsretlige regler og grundsætninger (saglighed, ligebehandlingsprincippet og officialprincippet m</w:t>
      </w:r>
      <w:r w:rsidR="00094421">
        <w:rPr>
          <w:rFonts w:eastAsia="Times New Roman" w:cs="Times New Roman"/>
          <w:color w:val="000000"/>
          <w:lang w:eastAsia="da-DK"/>
        </w:rPr>
        <w:t>.</w:t>
      </w:r>
      <w:r>
        <w:rPr>
          <w:rFonts w:eastAsia="Times New Roman" w:cs="Times New Roman"/>
          <w:color w:val="000000"/>
          <w:lang w:eastAsia="da-DK"/>
        </w:rPr>
        <w:t xml:space="preserve">v.) </w:t>
      </w:r>
      <w:r w:rsidRPr="00577043">
        <w:rPr>
          <w:rFonts w:eastAsia="Times New Roman" w:cs="Times New Roman"/>
          <w:color w:val="000000"/>
          <w:lang w:eastAsia="da-DK"/>
        </w:rPr>
        <w:t>er opfyldt.</w:t>
      </w:r>
      <w:r w:rsidR="00744C3A">
        <w:rPr>
          <w:rFonts w:eastAsia="Times New Roman" w:cs="Times New Roman"/>
          <w:color w:val="000000"/>
          <w:lang w:eastAsia="da-DK"/>
        </w:rPr>
        <w:t xml:space="preserve"> Ministeriet kan endvidere efterprøve de faktiske omstændigheder, der er lagt til grund for en afgørelse.</w:t>
      </w:r>
    </w:p>
    <w:p w14:paraId="6E7F34D7" w14:textId="77777777" w:rsidR="003229EF" w:rsidRPr="00577043" w:rsidRDefault="003229EF" w:rsidP="003229EF">
      <w:pPr>
        <w:rPr>
          <w:rFonts w:eastAsia="Times New Roman" w:cs="Times New Roman"/>
          <w:color w:val="000000"/>
          <w:lang w:eastAsia="da-DK"/>
        </w:rPr>
      </w:pPr>
    </w:p>
    <w:p w14:paraId="211B1830" w14:textId="77777777" w:rsidR="003229EF" w:rsidRPr="00577043" w:rsidRDefault="003229EF" w:rsidP="003229EF">
      <w:pPr>
        <w:rPr>
          <w:rFonts w:eastAsia="Times New Roman" w:cs="Times New Roman"/>
          <w:color w:val="000000"/>
          <w:lang w:eastAsia="da-DK"/>
        </w:rPr>
      </w:pPr>
      <w:r w:rsidRPr="00577043">
        <w:rPr>
          <w:rFonts w:eastAsia="Times New Roman" w:cs="Times New Roman"/>
          <w:color w:val="000000"/>
          <w:lang w:eastAsia="da-DK"/>
        </w:rPr>
        <w:t xml:space="preserve">Tilsvarende har andre, der ifølge forvaltningsloven er part i sagen </w:t>
      </w:r>
      <w:r w:rsidR="00DA12D4" w:rsidRPr="00577043">
        <w:rPr>
          <w:rFonts w:eastAsia="Times New Roman" w:cs="Times New Roman"/>
          <w:color w:val="000000"/>
          <w:lang w:eastAsia="da-DK"/>
        </w:rPr>
        <w:t xml:space="preserve">- </w:t>
      </w:r>
      <w:r w:rsidRPr="00577043">
        <w:rPr>
          <w:rFonts w:eastAsia="Times New Roman" w:cs="Times New Roman"/>
          <w:color w:val="000000"/>
          <w:lang w:eastAsia="da-DK"/>
        </w:rPr>
        <w:t xml:space="preserve">i lighed med gældende ret </w:t>
      </w:r>
      <w:r w:rsidR="00DA12D4" w:rsidRPr="00577043">
        <w:rPr>
          <w:rFonts w:eastAsia="Times New Roman" w:cs="Times New Roman"/>
          <w:color w:val="000000"/>
          <w:lang w:eastAsia="da-DK"/>
        </w:rPr>
        <w:t xml:space="preserve">- </w:t>
      </w:r>
      <w:r w:rsidRPr="00577043">
        <w:rPr>
          <w:rFonts w:eastAsia="Times New Roman" w:cs="Times New Roman"/>
          <w:color w:val="000000"/>
          <w:lang w:eastAsia="da-DK"/>
        </w:rPr>
        <w:t>med bestemmelsen adgang til at klage over afslag på godkendelse af et klinisk forsøg.</w:t>
      </w:r>
    </w:p>
    <w:p w14:paraId="277BBB7C" w14:textId="77777777" w:rsidR="003229EF" w:rsidRPr="00577043" w:rsidRDefault="003229EF" w:rsidP="003229EF">
      <w:pPr>
        <w:rPr>
          <w:rFonts w:eastAsia="Times New Roman" w:cs="Times New Roman"/>
          <w:color w:val="000000"/>
          <w:lang w:eastAsia="da-DK"/>
        </w:rPr>
      </w:pPr>
    </w:p>
    <w:p w14:paraId="50D459EA" w14:textId="77777777" w:rsidR="003229EF" w:rsidRPr="00577043" w:rsidRDefault="003229EF" w:rsidP="003229EF">
      <w:pPr>
        <w:rPr>
          <w:rFonts w:eastAsia="Times New Roman" w:cs="Times New Roman"/>
          <w:color w:val="000000"/>
          <w:lang w:eastAsia="da-DK"/>
        </w:rPr>
      </w:pPr>
      <w:r w:rsidRPr="00577043">
        <w:rPr>
          <w:rFonts w:eastAsia="Times New Roman" w:cs="Times New Roman"/>
          <w:color w:val="000000"/>
          <w:lang w:eastAsia="da-DK"/>
        </w:rPr>
        <w:t xml:space="preserve">En afgørelse kan i overensstemmelse med almindelige retlige principper indbringes for domstolene. </w:t>
      </w:r>
    </w:p>
    <w:p w14:paraId="7D8A45FD" w14:textId="77777777" w:rsidR="000062EB" w:rsidRPr="00577043" w:rsidRDefault="000062EB" w:rsidP="00CB2276">
      <w:pPr>
        <w:rPr>
          <w:rFonts w:eastAsia="Times New Roman" w:cs="Times New Roman"/>
          <w:color w:val="000000"/>
          <w:lang w:eastAsia="da-DK"/>
        </w:rPr>
      </w:pPr>
    </w:p>
    <w:p w14:paraId="3CABEEE6" w14:textId="77777777" w:rsidR="00C40F3E" w:rsidRPr="00577043" w:rsidRDefault="00C40F3E" w:rsidP="00B369CF">
      <w:pPr>
        <w:pStyle w:val="Overskrift2"/>
        <w:jc w:val="left"/>
        <w:rPr>
          <w:rFonts w:eastAsia="Times New Roman"/>
          <w:lang w:eastAsia="da-DK"/>
        </w:rPr>
      </w:pPr>
      <w:r w:rsidRPr="00577043">
        <w:rPr>
          <w:rFonts w:eastAsia="Times New Roman"/>
          <w:lang w:eastAsia="da-DK"/>
        </w:rPr>
        <w:t xml:space="preserve">Til §. </w:t>
      </w:r>
      <w:r w:rsidR="0056787D">
        <w:rPr>
          <w:rFonts w:eastAsia="Times New Roman"/>
          <w:lang w:eastAsia="da-DK"/>
        </w:rPr>
        <w:t>33</w:t>
      </w:r>
      <w:r w:rsidRPr="00577043">
        <w:rPr>
          <w:rFonts w:eastAsia="Times New Roman"/>
          <w:lang w:eastAsia="da-DK"/>
        </w:rPr>
        <w:t xml:space="preserve"> [Finansiering]</w:t>
      </w:r>
    </w:p>
    <w:p w14:paraId="2AF8CE4A" w14:textId="77777777" w:rsidR="000E5FFB" w:rsidRPr="00577043" w:rsidRDefault="000E5FFB" w:rsidP="000E5FFB">
      <w:pPr>
        <w:rPr>
          <w:rFonts w:eastAsia="Times New Roman" w:cs="Times New Roman"/>
          <w:color w:val="000000"/>
          <w:lang w:eastAsia="da-DK"/>
        </w:rPr>
      </w:pPr>
      <w:r w:rsidRPr="00577043">
        <w:rPr>
          <w:rFonts w:eastAsia="Times New Roman" w:cs="Times New Roman"/>
          <w:color w:val="000000"/>
          <w:lang w:eastAsia="da-DK"/>
        </w:rPr>
        <w:t xml:space="preserve">Det foreslås med </w:t>
      </w:r>
      <w:r w:rsidRPr="006D1DA3">
        <w:rPr>
          <w:rFonts w:eastAsia="Times New Roman" w:cs="Times New Roman"/>
          <w:i/>
          <w:color w:val="000000"/>
          <w:lang w:eastAsia="da-DK"/>
        </w:rPr>
        <w:t xml:space="preserve">§ </w:t>
      </w:r>
      <w:r w:rsidR="0056787D">
        <w:rPr>
          <w:rFonts w:eastAsia="Times New Roman" w:cs="Times New Roman"/>
          <w:i/>
          <w:color w:val="000000"/>
          <w:lang w:eastAsia="da-DK"/>
        </w:rPr>
        <w:t>33</w:t>
      </w:r>
      <w:r w:rsidRPr="006D1DA3">
        <w:rPr>
          <w:rFonts w:eastAsia="Times New Roman" w:cs="Times New Roman"/>
          <w:i/>
          <w:color w:val="000000"/>
          <w:lang w:eastAsia="da-DK"/>
        </w:rPr>
        <w:t>, stk. 1</w:t>
      </w:r>
      <w:r w:rsidRPr="00577043">
        <w:rPr>
          <w:rFonts w:eastAsia="Times New Roman" w:cs="Times New Roman"/>
          <w:color w:val="000000"/>
          <w:lang w:eastAsia="da-DK"/>
        </w:rPr>
        <w:t xml:space="preserve">, at udgifterne til </w:t>
      </w:r>
      <w:r w:rsidR="0058651B">
        <w:rPr>
          <w:rFonts w:eastAsia="Times New Roman" w:cs="Times New Roman"/>
          <w:color w:val="000000"/>
          <w:lang w:eastAsia="da-DK"/>
        </w:rPr>
        <w:t>Lægemiddelstyrelsen</w:t>
      </w:r>
      <w:r w:rsidRPr="00577043">
        <w:rPr>
          <w:rFonts w:eastAsia="Times New Roman" w:cs="Times New Roman"/>
          <w:color w:val="000000"/>
          <w:lang w:eastAsia="da-DK"/>
        </w:rPr>
        <w:t>s og de videnskabsetiske lægemiddelkomiteers behandling af ansøgninger om godkendelse af kliniske forsøg o</w:t>
      </w:r>
      <w:r w:rsidR="00086CF7" w:rsidRPr="00577043">
        <w:rPr>
          <w:rFonts w:eastAsia="Times New Roman" w:cs="Times New Roman"/>
          <w:color w:val="000000"/>
          <w:lang w:eastAsia="da-DK"/>
        </w:rPr>
        <w:t xml:space="preserve">g </w:t>
      </w:r>
      <w:r w:rsidR="00AD484F">
        <w:rPr>
          <w:rFonts w:eastAsia="Times New Roman" w:cs="Times New Roman"/>
          <w:color w:val="000000"/>
          <w:lang w:eastAsia="da-DK"/>
        </w:rPr>
        <w:t>kontrol</w:t>
      </w:r>
      <w:r w:rsidR="00086CF7" w:rsidRPr="00577043">
        <w:rPr>
          <w:rFonts w:eastAsia="Times New Roman" w:cs="Times New Roman"/>
          <w:color w:val="000000"/>
          <w:lang w:eastAsia="da-DK"/>
        </w:rPr>
        <w:t xml:space="preserve"> med godkendte </w:t>
      </w:r>
      <w:r w:rsidRPr="00577043">
        <w:rPr>
          <w:rFonts w:eastAsia="Times New Roman" w:cs="Times New Roman"/>
          <w:color w:val="000000"/>
          <w:lang w:eastAsia="da-DK"/>
        </w:rPr>
        <w:t xml:space="preserve">forsøg afholdes af staten. </w:t>
      </w:r>
      <w:r w:rsidR="00086CF7" w:rsidRPr="00577043">
        <w:rPr>
          <w:rFonts w:eastAsia="Times New Roman" w:cs="Times New Roman"/>
          <w:color w:val="000000"/>
          <w:lang w:eastAsia="da-DK"/>
        </w:rPr>
        <w:t>Dette omfatter</w:t>
      </w:r>
      <w:r w:rsidRPr="00577043">
        <w:rPr>
          <w:rFonts w:eastAsia="Times New Roman" w:cs="Times New Roman"/>
          <w:color w:val="000000"/>
          <w:lang w:eastAsia="da-DK"/>
        </w:rPr>
        <w:t xml:space="preserve"> udgifterne til </w:t>
      </w:r>
      <w:r w:rsidR="0058651B">
        <w:rPr>
          <w:rFonts w:eastAsia="Times New Roman" w:cs="Times New Roman"/>
          <w:color w:val="000000"/>
          <w:lang w:eastAsia="da-DK"/>
        </w:rPr>
        <w:t>Lægemiddelstyrelsen</w:t>
      </w:r>
      <w:r w:rsidRPr="00577043">
        <w:rPr>
          <w:rFonts w:eastAsia="Times New Roman" w:cs="Times New Roman"/>
          <w:color w:val="000000"/>
          <w:lang w:eastAsia="da-DK"/>
        </w:rPr>
        <w:t>s sagsbehandling af ansøgninger om kliniske forsøg med lægemidler og udgifterne til de videnskabsetiske komiteer sagsbehandling, herunder vederlag til komitémedlemmer samt sekretariatsbetjeningen af disse m</w:t>
      </w:r>
      <w:r w:rsidR="00094421">
        <w:rPr>
          <w:rFonts w:eastAsia="Times New Roman" w:cs="Times New Roman"/>
          <w:color w:val="000000"/>
          <w:lang w:eastAsia="da-DK"/>
        </w:rPr>
        <w:t>.</w:t>
      </w:r>
      <w:r w:rsidRPr="00577043">
        <w:rPr>
          <w:rFonts w:eastAsia="Times New Roman" w:cs="Times New Roman"/>
          <w:color w:val="000000"/>
          <w:lang w:eastAsia="da-DK"/>
        </w:rPr>
        <w:t>v.</w:t>
      </w:r>
    </w:p>
    <w:p w14:paraId="260EB378" w14:textId="77777777" w:rsidR="000E5FFB" w:rsidRPr="00577043" w:rsidRDefault="000E5FFB" w:rsidP="000E5FFB">
      <w:pPr>
        <w:rPr>
          <w:rFonts w:eastAsia="Times New Roman" w:cs="Times New Roman"/>
          <w:color w:val="000000"/>
          <w:lang w:eastAsia="da-DK"/>
        </w:rPr>
      </w:pPr>
    </w:p>
    <w:p w14:paraId="1D07BA1E" w14:textId="77777777" w:rsidR="00086CF7" w:rsidRPr="00577043" w:rsidRDefault="000E5FFB" w:rsidP="000E5FFB">
      <w:pPr>
        <w:rPr>
          <w:rFonts w:eastAsia="Times New Roman" w:cs="Times New Roman"/>
          <w:color w:val="000000"/>
          <w:lang w:eastAsia="da-DK"/>
        </w:rPr>
      </w:pPr>
      <w:r w:rsidRPr="00577043">
        <w:rPr>
          <w:rFonts w:eastAsia="Times New Roman" w:cs="Times New Roman"/>
          <w:color w:val="000000"/>
          <w:lang w:eastAsia="da-DK"/>
        </w:rPr>
        <w:t xml:space="preserve">Med </w:t>
      </w:r>
      <w:r w:rsidRPr="006D1DA3">
        <w:rPr>
          <w:rFonts w:eastAsia="Times New Roman" w:cs="Times New Roman"/>
          <w:i/>
          <w:color w:val="000000"/>
          <w:lang w:eastAsia="da-DK"/>
        </w:rPr>
        <w:t xml:space="preserve">§ </w:t>
      </w:r>
      <w:r w:rsidR="0056787D">
        <w:rPr>
          <w:rFonts w:eastAsia="Times New Roman" w:cs="Times New Roman"/>
          <w:i/>
          <w:color w:val="000000"/>
          <w:lang w:eastAsia="da-DK"/>
        </w:rPr>
        <w:t>33</w:t>
      </w:r>
      <w:r w:rsidRPr="006D1DA3">
        <w:rPr>
          <w:rFonts w:eastAsia="Times New Roman" w:cs="Times New Roman"/>
          <w:i/>
          <w:color w:val="000000"/>
          <w:lang w:eastAsia="da-DK"/>
        </w:rPr>
        <w:t>, stk. 2</w:t>
      </w:r>
      <w:r w:rsidRPr="00577043">
        <w:rPr>
          <w:rFonts w:eastAsia="Times New Roman" w:cs="Times New Roman"/>
          <w:color w:val="000000"/>
          <w:lang w:eastAsia="da-DK"/>
        </w:rPr>
        <w:t xml:space="preserve">, foreslås det, at udgifterne dækkes af gebyrer. Det foreslås, at der opkræves </w:t>
      </w:r>
      <w:r w:rsidR="00086CF7" w:rsidRPr="00577043">
        <w:rPr>
          <w:rFonts w:eastAsia="Times New Roman" w:cs="Times New Roman"/>
          <w:color w:val="000000"/>
          <w:lang w:eastAsia="da-DK"/>
        </w:rPr>
        <w:t>é</w:t>
      </w:r>
      <w:r w:rsidRPr="00577043">
        <w:rPr>
          <w:rFonts w:eastAsia="Times New Roman" w:cs="Times New Roman"/>
          <w:color w:val="000000"/>
          <w:lang w:eastAsia="da-DK"/>
        </w:rPr>
        <w:t xml:space="preserve">t gebyr pr. ansøgning i overensstemmelse med forordningen </w:t>
      </w:r>
      <w:r w:rsidR="00086CF7" w:rsidRPr="00577043">
        <w:rPr>
          <w:rFonts w:eastAsia="Times New Roman" w:cs="Times New Roman"/>
          <w:color w:val="000000"/>
          <w:lang w:eastAsia="da-DK"/>
        </w:rPr>
        <w:t xml:space="preserve">krav </w:t>
      </w:r>
      <w:r w:rsidRPr="00577043">
        <w:rPr>
          <w:rFonts w:eastAsia="Times New Roman" w:cs="Times New Roman"/>
          <w:color w:val="000000"/>
          <w:lang w:eastAsia="da-DK"/>
        </w:rPr>
        <w:t xml:space="preserve">om et </w:t>
      </w:r>
      <w:r w:rsidR="00086CF7" w:rsidRPr="00577043">
        <w:rPr>
          <w:rFonts w:eastAsia="Times New Roman" w:cs="Times New Roman"/>
          <w:color w:val="000000"/>
          <w:lang w:eastAsia="da-DK"/>
        </w:rPr>
        <w:t>enkelt</w:t>
      </w:r>
      <w:r w:rsidRPr="00577043">
        <w:rPr>
          <w:rFonts w:eastAsia="Times New Roman" w:cs="Times New Roman"/>
          <w:color w:val="000000"/>
          <w:lang w:eastAsia="da-DK"/>
        </w:rPr>
        <w:t xml:space="preserve"> gebyr</w:t>
      </w:r>
      <w:r w:rsidR="00086CF7" w:rsidRPr="00577043">
        <w:rPr>
          <w:rFonts w:eastAsia="Times New Roman" w:cs="Times New Roman"/>
          <w:color w:val="000000"/>
          <w:lang w:eastAsia="da-DK"/>
        </w:rPr>
        <w:t xml:space="preserve"> pr. aktivitet, jf.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sidRPr="00577043">
        <w:rPr>
          <w:rFonts w:eastAsia="Times New Roman" w:cs="Times New Roman"/>
          <w:color w:val="000000"/>
          <w:lang w:eastAsia="da-DK"/>
        </w:rPr>
        <w:t xml:space="preserve"> </w:t>
      </w:r>
      <w:r w:rsidR="00086CF7" w:rsidRPr="00577043">
        <w:rPr>
          <w:rFonts w:eastAsia="Times New Roman" w:cs="Times New Roman"/>
          <w:color w:val="000000"/>
          <w:lang w:eastAsia="da-DK"/>
        </w:rPr>
        <w:t xml:space="preserve"> 87</w:t>
      </w:r>
      <w:r w:rsidRPr="00577043">
        <w:rPr>
          <w:rFonts w:eastAsia="Times New Roman" w:cs="Times New Roman"/>
          <w:color w:val="000000"/>
          <w:lang w:eastAsia="da-DK"/>
        </w:rPr>
        <w:t xml:space="preserve">. </w:t>
      </w:r>
    </w:p>
    <w:p w14:paraId="4C7BDB3A" w14:textId="77777777" w:rsidR="00086CF7" w:rsidRPr="00577043" w:rsidRDefault="00086CF7" w:rsidP="000E5FFB">
      <w:pPr>
        <w:rPr>
          <w:rFonts w:eastAsia="Times New Roman" w:cs="Times New Roman"/>
          <w:color w:val="000000"/>
          <w:lang w:eastAsia="da-DK"/>
        </w:rPr>
      </w:pPr>
    </w:p>
    <w:p w14:paraId="4696211A" w14:textId="77777777" w:rsidR="000E5FFB" w:rsidRPr="00577043" w:rsidRDefault="000E5FFB" w:rsidP="000E5FFB">
      <w:pPr>
        <w:rPr>
          <w:rFonts w:eastAsia="Times New Roman" w:cs="Times New Roman"/>
          <w:color w:val="000000"/>
          <w:lang w:eastAsia="da-DK"/>
        </w:rPr>
      </w:pPr>
      <w:r w:rsidRPr="00577043">
        <w:rPr>
          <w:rFonts w:eastAsia="Times New Roman" w:cs="Times New Roman"/>
          <w:color w:val="000000"/>
          <w:lang w:eastAsia="da-DK"/>
        </w:rPr>
        <w:t xml:space="preserve">Det foreslås endvidere, at </w:t>
      </w:r>
      <w:r w:rsidR="00A22EAD" w:rsidRPr="00577043">
        <w:rPr>
          <w:rFonts w:eastAsia="Times New Roman" w:cs="Times New Roman"/>
          <w:color w:val="000000"/>
          <w:lang w:eastAsia="da-DK"/>
        </w:rPr>
        <w:t>sundheds- og ældreministeren</w:t>
      </w:r>
      <w:r w:rsidRPr="00577043">
        <w:rPr>
          <w:rFonts w:eastAsia="Times New Roman" w:cs="Times New Roman"/>
          <w:color w:val="000000"/>
          <w:lang w:eastAsia="da-DK"/>
        </w:rPr>
        <w:t xml:space="preserve"> fastsætter regler om gebyrets størrelse og opkrævning af gebyret. Denne hjemmel vil bl.a. blive benyttet til at fastsætte størrelsen af et gebyr, som ikke overstiger udgifterne forbundet med behandlingen af en ansøgning og opfølgningen på forsøg. Det forventes fastsat, at gebyrets størrelse varierer afhængigt af typen af ansøgning, herunder om der er tale om en ansøgning om godkendelse af et nyt forsøg eller en ændring af et allerede godkendt forsøg.</w:t>
      </w:r>
    </w:p>
    <w:p w14:paraId="0880C4E8" w14:textId="77777777" w:rsidR="000E5FFB" w:rsidRPr="00577043" w:rsidRDefault="000E5FFB" w:rsidP="000E5FFB">
      <w:pPr>
        <w:rPr>
          <w:rFonts w:eastAsia="Times New Roman" w:cs="Times New Roman"/>
          <w:color w:val="000000"/>
          <w:lang w:eastAsia="da-DK"/>
        </w:rPr>
      </w:pPr>
    </w:p>
    <w:p w14:paraId="4F0E9F51" w14:textId="77777777" w:rsidR="000E5FFB" w:rsidRPr="00577043" w:rsidRDefault="000E5FFB" w:rsidP="000E5FFB">
      <w:pPr>
        <w:rPr>
          <w:rFonts w:eastAsia="Times New Roman" w:cs="Times New Roman"/>
          <w:color w:val="000000"/>
          <w:lang w:eastAsia="da-DK"/>
        </w:rPr>
      </w:pPr>
      <w:r w:rsidRPr="00577043">
        <w:rPr>
          <w:rFonts w:eastAsia="Times New Roman" w:cs="Times New Roman"/>
          <w:color w:val="000000"/>
          <w:lang w:eastAsia="da-DK"/>
        </w:rPr>
        <w:t>Hjemlen vil desuden blive benyttet til at fastsætte, hvilken myndighed der skal opkræve gebyret</w:t>
      </w:r>
      <w:r w:rsidR="00ED2E84" w:rsidRPr="00577043">
        <w:rPr>
          <w:rFonts w:eastAsia="Times New Roman" w:cs="Times New Roman"/>
          <w:color w:val="000000"/>
          <w:lang w:eastAsia="da-DK"/>
        </w:rPr>
        <w:t>, og hvordan indtægterne fra geb</w:t>
      </w:r>
      <w:r w:rsidR="00086CF7" w:rsidRPr="00577043">
        <w:rPr>
          <w:rFonts w:eastAsia="Times New Roman" w:cs="Times New Roman"/>
          <w:color w:val="000000"/>
          <w:lang w:eastAsia="da-DK"/>
        </w:rPr>
        <w:t xml:space="preserve">yret derefter fordeles mellem </w:t>
      </w:r>
      <w:r w:rsidR="0058651B">
        <w:rPr>
          <w:rFonts w:eastAsia="Times New Roman" w:cs="Times New Roman"/>
          <w:color w:val="000000"/>
          <w:lang w:eastAsia="da-DK"/>
        </w:rPr>
        <w:t>Lægemiddelstyrelsen</w:t>
      </w:r>
      <w:r w:rsidR="00ED2E84" w:rsidRPr="00577043">
        <w:rPr>
          <w:rFonts w:eastAsia="Times New Roman" w:cs="Times New Roman"/>
          <w:color w:val="000000"/>
          <w:lang w:eastAsia="da-DK"/>
        </w:rPr>
        <w:t xml:space="preserve"> og de videnskabsetiske lægemiddelkomiteer</w:t>
      </w:r>
      <w:r w:rsidRPr="00577043">
        <w:rPr>
          <w:rFonts w:eastAsia="Times New Roman" w:cs="Times New Roman"/>
          <w:color w:val="000000"/>
          <w:lang w:eastAsia="da-DK"/>
        </w:rPr>
        <w:t>.</w:t>
      </w:r>
    </w:p>
    <w:p w14:paraId="7F02D89D" w14:textId="77777777" w:rsidR="000E5FFB" w:rsidRPr="00577043" w:rsidRDefault="000E5FFB" w:rsidP="000E5FFB">
      <w:pPr>
        <w:rPr>
          <w:rFonts w:eastAsia="Times New Roman" w:cs="Times New Roman"/>
          <w:color w:val="000000"/>
          <w:lang w:eastAsia="da-DK"/>
        </w:rPr>
      </w:pPr>
    </w:p>
    <w:p w14:paraId="2B3CF858" w14:textId="77777777" w:rsidR="000E5FFB" w:rsidRPr="00577043" w:rsidRDefault="000E5FFB" w:rsidP="000E5FFB">
      <w:pPr>
        <w:rPr>
          <w:rFonts w:eastAsia="Times New Roman" w:cs="Times New Roman"/>
          <w:color w:val="000000"/>
          <w:lang w:eastAsia="da-DK"/>
        </w:rPr>
      </w:pPr>
      <w:r w:rsidRPr="00577043">
        <w:rPr>
          <w:rFonts w:eastAsia="Times New Roman" w:cs="Times New Roman"/>
          <w:color w:val="000000"/>
          <w:lang w:eastAsia="da-DK"/>
        </w:rPr>
        <w:t xml:space="preserve">Gebyret skal med forslaget fortsat opkræves af brugerne af systemet, dvs. af private virksomheder og offentlige institutioner. </w:t>
      </w:r>
    </w:p>
    <w:p w14:paraId="5D1024CE" w14:textId="77777777" w:rsidR="000E5FFB" w:rsidRPr="00577043" w:rsidRDefault="000E5FFB" w:rsidP="000E5FFB">
      <w:pPr>
        <w:rPr>
          <w:rFonts w:eastAsia="Times New Roman" w:cs="Times New Roman"/>
          <w:color w:val="000000"/>
          <w:lang w:eastAsia="da-DK"/>
        </w:rPr>
      </w:pPr>
    </w:p>
    <w:p w14:paraId="4F60CEB3" w14:textId="77777777" w:rsidR="000E5FFB" w:rsidRPr="00577043" w:rsidRDefault="000E5FFB" w:rsidP="000E5FFB">
      <w:pPr>
        <w:rPr>
          <w:rFonts w:eastAsia="Times New Roman" w:cs="Times New Roman"/>
          <w:color w:val="000000"/>
          <w:lang w:eastAsia="da-DK"/>
        </w:rPr>
      </w:pPr>
      <w:r w:rsidRPr="00577043">
        <w:rPr>
          <w:rFonts w:eastAsia="Times New Roman" w:cs="Times New Roman"/>
          <w:color w:val="000000"/>
          <w:lang w:eastAsia="da-DK"/>
        </w:rPr>
        <w:t xml:space="preserve">Endelig foreslås det med </w:t>
      </w:r>
      <w:r w:rsidRPr="006D1DA3">
        <w:rPr>
          <w:rFonts w:eastAsia="Times New Roman" w:cs="Times New Roman"/>
          <w:i/>
          <w:color w:val="000000"/>
          <w:lang w:eastAsia="da-DK"/>
        </w:rPr>
        <w:t xml:space="preserve">§ </w:t>
      </w:r>
      <w:r w:rsidR="0056787D">
        <w:rPr>
          <w:rFonts w:eastAsia="Times New Roman" w:cs="Times New Roman"/>
          <w:i/>
          <w:color w:val="000000"/>
          <w:lang w:eastAsia="da-DK"/>
        </w:rPr>
        <w:t>33</w:t>
      </w:r>
      <w:r w:rsidRPr="006D1DA3">
        <w:rPr>
          <w:rFonts w:eastAsia="Times New Roman" w:cs="Times New Roman"/>
          <w:i/>
          <w:color w:val="000000"/>
          <w:lang w:eastAsia="da-DK"/>
        </w:rPr>
        <w:t>, stk. 3</w:t>
      </w:r>
      <w:r w:rsidRPr="00577043">
        <w:rPr>
          <w:rFonts w:eastAsia="Times New Roman" w:cs="Times New Roman"/>
          <w:color w:val="000000"/>
          <w:lang w:eastAsia="da-DK"/>
        </w:rPr>
        <w:t xml:space="preserve">, at </w:t>
      </w:r>
      <w:r w:rsidR="00A22EAD" w:rsidRPr="00577043">
        <w:rPr>
          <w:rFonts w:eastAsia="Times New Roman" w:cs="Times New Roman"/>
          <w:color w:val="000000"/>
          <w:lang w:eastAsia="da-DK"/>
        </w:rPr>
        <w:t>sundheds- og ældreministeren</w:t>
      </w:r>
      <w:r w:rsidRPr="00577043">
        <w:rPr>
          <w:rFonts w:eastAsia="Times New Roman" w:cs="Times New Roman"/>
          <w:color w:val="000000"/>
          <w:lang w:eastAsia="da-DK"/>
        </w:rPr>
        <w:t xml:space="preserve"> fastsætter et vederlag til medlemmerne af de videnskabsetiske lægemiddelkomiteer og deres eventuelle suppleanter.</w:t>
      </w:r>
    </w:p>
    <w:p w14:paraId="4FE67707" w14:textId="77777777" w:rsidR="000E5FFB" w:rsidRPr="00577043" w:rsidRDefault="000E5FFB" w:rsidP="000E5FFB">
      <w:pPr>
        <w:rPr>
          <w:rFonts w:eastAsia="Times New Roman" w:cs="Times New Roman"/>
          <w:color w:val="000000"/>
          <w:lang w:eastAsia="da-DK"/>
        </w:rPr>
      </w:pPr>
    </w:p>
    <w:p w14:paraId="577124C1" w14:textId="77777777" w:rsidR="00364B20" w:rsidRDefault="000E5FFB" w:rsidP="000E5FFB">
      <w:pPr>
        <w:rPr>
          <w:rFonts w:eastAsia="Times New Roman" w:cs="Times New Roman"/>
          <w:iCs/>
          <w:color w:val="000000"/>
          <w:lang w:eastAsia="da-DK"/>
        </w:rPr>
      </w:pPr>
      <w:r w:rsidRPr="00577043">
        <w:rPr>
          <w:rFonts w:eastAsia="Times New Roman" w:cs="Times New Roman"/>
          <w:iCs/>
          <w:color w:val="000000"/>
          <w:lang w:eastAsia="da-DK"/>
        </w:rPr>
        <w:t>Der henvises i øvrigt til afsnit 2.7. i de almindelige bemærkninger.</w:t>
      </w:r>
    </w:p>
    <w:p w14:paraId="2A9BD875" w14:textId="77777777" w:rsidR="0016270D" w:rsidRDefault="0016270D" w:rsidP="000E5FFB">
      <w:pPr>
        <w:rPr>
          <w:rFonts w:eastAsia="Times New Roman" w:cs="Times New Roman"/>
          <w:iCs/>
          <w:color w:val="000000"/>
          <w:lang w:eastAsia="da-DK"/>
        </w:rPr>
      </w:pPr>
    </w:p>
    <w:p w14:paraId="37CBB9E6" w14:textId="77777777" w:rsidR="0016270D" w:rsidRPr="00577043" w:rsidRDefault="0016270D" w:rsidP="0016270D">
      <w:pPr>
        <w:pStyle w:val="Overskrift2"/>
        <w:jc w:val="left"/>
        <w:rPr>
          <w:rFonts w:eastAsia="Times New Roman" w:cs="Times New Roman"/>
          <w:lang w:eastAsia="da-DK"/>
        </w:rPr>
      </w:pPr>
      <w:r w:rsidRPr="00577043">
        <w:rPr>
          <w:rFonts w:eastAsia="Times New Roman" w:cs="Times New Roman"/>
          <w:iCs/>
          <w:lang w:eastAsia="da-DK"/>
        </w:rPr>
        <w:t xml:space="preserve">Til § </w:t>
      </w:r>
      <w:r>
        <w:rPr>
          <w:rFonts w:eastAsia="Times New Roman" w:cs="Times New Roman"/>
          <w:iCs/>
          <w:lang w:eastAsia="da-DK"/>
        </w:rPr>
        <w:t>34</w:t>
      </w:r>
      <w:r w:rsidRPr="00577043">
        <w:rPr>
          <w:rFonts w:eastAsia="Times New Roman" w:cs="Times New Roman"/>
          <w:iCs/>
          <w:lang w:eastAsia="da-DK"/>
        </w:rPr>
        <w:t xml:space="preserve"> </w:t>
      </w:r>
      <w:r w:rsidRPr="00577043">
        <w:rPr>
          <w:rFonts w:eastAsia="Times New Roman" w:cs="Times New Roman"/>
          <w:lang w:eastAsia="da-DK"/>
        </w:rPr>
        <w:t>[Godtgørelse]</w:t>
      </w:r>
    </w:p>
    <w:p w14:paraId="1DA78BA4" w14:textId="77777777" w:rsidR="0016270D" w:rsidRPr="00577043" w:rsidRDefault="0016270D" w:rsidP="0016270D">
      <w:pPr>
        <w:rPr>
          <w:rFonts w:eastAsia="Times New Roman" w:cs="Times New Roman"/>
          <w:color w:val="000000"/>
          <w:lang w:eastAsia="da-DK"/>
        </w:rPr>
      </w:pPr>
      <w:r w:rsidRPr="00577043">
        <w:rPr>
          <w:rFonts w:eastAsia="Times New Roman" w:cs="Times New Roman"/>
          <w:color w:val="000000"/>
          <w:lang w:eastAsia="da-DK"/>
        </w:rPr>
        <w:t xml:space="preserve">Det foreslås med </w:t>
      </w:r>
      <w:r w:rsidRPr="007D35F7">
        <w:rPr>
          <w:rFonts w:eastAsia="Times New Roman" w:cs="Times New Roman"/>
          <w:i/>
          <w:color w:val="000000"/>
          <w:lang w:eastAsia="da-DK"/>
        </w:rPr>
        <w:t xml:space="preserve">§ </w:t>
      </w:r>
      <w:r>
        <w:rPr>
          <w:rFonts w:eastAsia="Times New Roman" w:cs="Times New Roman"/>
          <w:i/>
          <w:color w:val="000000"/>
          <w:lang w:eastAsia="da-DK"/>
        </w:rPr>
        <w:t>34</w:t>
      </w:r>
      <w:r w:rsidRPr="007D35F7">
        <w:rPr>
          <w:rFonts w:eastAsia="Times New Roman" w:cs="Times New Roman"/>
          <w:i/>
          <w:color w:val="000000"/>
          <w:lang w:eastAsia="da-DK"/>
        </w:rPr>
        <w:t>, stk. 1</w:t>
      </w:r>
      <w:r>
        <w:rPr>
          <w:rFonts w:eastAsia="Times New Roman" w:cs="Times New Roman"/>
          <w:color w:val="000000"/>
          <w:lang w:eastAsia="da-DK"/>
        </w:rPr>
        <w:t xml:space="preserve">, </w:t>
      </w:r>
      <w:r w:rsidRPr="00577043">
        <w:rPr>
          <w:rFonts w:eastAsia="Times New Roman" w:cs="Times New Roman"/>
          <w:color w:val="000000"/>
          <w:lang w:eastAsia="da-DK"/>
        </w:rPr>
        <w:t xml:space="preserve">at sponsor eller, hvis denne ikke har værneting i Danmark, investigator, skal betale en godtgørelse på 1.350 kr. </w:t>
      </w:r>
      <w:r>
        <w:rPr>
          <w:rFonts w:eastAsia="Times New Roman" w:cs="Times New Roman"/>
          <w:color w:val="000000"/>
          <w:lang w:eastAsia="da-DK"/>
        </w:rPr>
        <w:t xml:space="preserve">(2011) </w:t>
      </w:r>
      <w:r w:rsidRPr="00577043">
        <w:rPr>
          <w:rFonts w:eastAsia="Times New Roman" w:cs="Times New Roman"/>
          <w:color w:val="000000"/>
          <w:lang w:eastAsia="da-DK"/>
        </w:rPr>
        <w:t>til personer, som har deltaget i et projekt iværksat i strid med artikel 4 eller artikel 28-</w:t>
      </w:r>
      <w:r>
        <w:rPr>
          <w:rFonts w:eastAsia="Times New Roman" w:cs="Times New Roman"/>
          <w:color w:val="000000"/>
          <w:lang w:eastAsia="da-DK"/>
        </w:rPr>
        <w:t>34</w:t>
      </w:r>
      <w:r w:rsidRPr="00577043">
        <w:rPr>
          <w:rFonts w:eastAsia="Times New Roman" w:cs="Times New Roman"/>
          <w:color w:val="000000"/>
          <w:lang w:eastAsia="da-DK"/>
        </w:rPr>
        <w:t xml:space="preserve"> i forordningen. Forsøgspersoner, der har deltaget i et forsøg, der ikke er godkendt af den relevante myndighed, jf.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sidRPr="00577043">
        <w:rPr>
          <w:rFonts w:eastAsia="Times New Roman" w:cs="Times New Roman"/>
          <w:color w:val="000000"/>
          <w:lang w:eastAsia="da-DK"/>
        </w:rPr>
        <w:t xml:space="preserve"> </w:t>
      </w:r>
      <w:r w:rsidRPr="00577043">
        <w:rPr>
          <w:rFonts w:eastAsia="Times New Roman" w:cs="Times New Roman"/>
          <w:color w:val="000000"/>
          <w:lang w:eastAsia="da-DK"/>
        </w:rPr>
        <w:t xml:space="preserve">4 i forordningen, eller har deltaget i et forsøg, uden at der er indhentet </w:t>
      </w:r>
      <w:r w:rsidRPr="00577043">
        <w:rPr>
          <w:rFonts w:eastAsia="Times New Roman" w:cs="Times New Roman"/>
          <w:color w:val="000000"/>
          <w:lang w:eastAsia="da-DK"/>
        </w:rPr>
        <w:lastRenderedPageBreak/>
        <w:t xml:space="preserve">samtykke, jf.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sidRPr="00577043">
        <w:rPr>
          <w:rFonts w:eastAsia="Times New Roman" w:cs="Times New Roman"/>
          <w:color w:val="000000"/>
          <w:lang w:eastAsia="da-DK"/>
        </w:rPr>
        <w:t xml:space="preserve"> </w:t>
      </w:r>
      <w:r w:rsidRPr="00577043">
        <w:rPr>
          <w:rFonts w:eastAsia="Times New Roman" w:cs="Times New Roman"/>
          <w:color w:val="000000"/>
          <w:lang w:eastAsia="da-DK"/>
        </w:rPr>
        <w:t>28-</w:t>
      </w:r>
      <w:r>
        <w:rPr>
          <w:rFonts w:eastAsia="Times New Roman" w:cs="Times New Roman"/>
          <w:color w:val="000000"/>
          <w:lang w:eastAsia="da-DK"/>
        </w:rPr>
        <w:t>34</w:t>
      </w:r>
      <w:r w:rsidRPr="00577043">
        <w:rPr>
          <w:rFonts w:eastAsia="Times New Roman" w:cs="Times New Roman"/>
          <w:color w:val="000000"/>
          <w:lang w:eastAsia="da-DK"/>
        </w:rPr>
        <w:t>, skal således ydes en godtgørelse på 1</w:t>
      </w:r>
      <w:r>
        <w:rPr>
          <w:rFonts w:eastAsia="Times New Roman" w:cs="Times New Roman"/>
          <w:color w:val="000000"/>
          <w:lang w:eastAsia="da-DK"/>
        </w:rPr>
        <w:t>.4</w:t>
      </w:r>
      <w:r w:rsidRPr="00577043">
        <w:rPr>
          <w:rFonts w:eastAsia="Times New Roman" w:cs="Times New Roman"/>
          <w:color w:val="000000"/>
          <w:lang w:eastAsia="da-DK"/>
        </w:rPr>
        <w:t xml:space="preserve">50 kr. </w:t>
      </w:r>
      <w:r>
        <w:rPr>
          <w:rFonts w:eastAsia="Times New Roman" w:cs="Times New Roman"/>
          <w:color w:val="000000"/>
          <w:lang w:eastAsia="da-DK"/>
        </w:rPr>
        <w:t xml:space="preserve">(2016). </w:t>
      </w:r>
      <w:r w:rsidRPr="00577043">
        <w:rPr>
          <w:rFonts w:eastAsia="Times New Roman" w:cs="Times New Roman"/>
          <w:color w:val="000000"/>
          <w:lang w:eastAsia="da-DK"/>
        </w:rPr>
        <w:t>Dette er en videreførelse af komitélovens § 42.</w:t>
      </w:r>
    </w:p>
    <w:p w14:paraId="3FA4D950" w14:textId="77777777" w:rsidR="0016270D" w:rsidRPr="00577043" w:rsidRDefault="0016270D" w:rsidP="0016270D">
      <w:pPr>
        <w:rPr>
          <w:rFonts w:eastAsia="Times New Roman" w:cs="Times New Roman"/>
          <w:color w:val="000000"/>
          <w:lang w:eastAsia="da-DK"/>
        </w:rPr>
      </w:pPr>
    </w:p>
    <w:p w14:paraId="32319786" w14:textId="77777777" w:rsidR="0016270D" w:rsidRPr="00577043" w:rsidRDefault="0016270D" w:rsidP="0016270D">
      <w:pPr>
        <w:rPr>
          <w:rFonts w:eastAsia="Times New Roman" w:cs="Times New Roman"/>
          <w:color w:val="000000"/>
          <w:lang w:eastAsia="da-DK"/>
        </w:rPr>
      </w:pPr>
      <w:r w:rsidRPr="00577043">
        <w:rPr>
          <w:rFonts w:eastAsia="Times New Roman" w:cs="Times New Roman"/>
          <w:color w:val="000000"/>
          <w:lang w:eastAsia="da-DK"/>
        </w:rPr>
        <w:t xml:space="preserve">Godtgørelsen skal kompensere for, at forsøgspersonen ikke har fået den beskyttelse, der ligger i </w:t>
      </w:r>
      <w:r>
        <w:rPr>
          <w:rFonts w:eastAsia="Times New Roman" w:cs="Times New Roman"/>
          <w:color w:val="000000"/>
          <w:lang w:eastAsia="da-DK"/>
        </w:rPr>
        <w:t>Lægemiddelstyrelsen</w:t>
      </w:r>
      <w:r w:rsidRPr="00577043">
        <w:rPr>
          <w:rFonts w:eastAsia="Times New Roman" w:cs="Times New Roman"/>
          <w:color w:val="000000"/>
          <w:lang w:eastAsia="da-DK"/>
        </w:rPr>
        <w:t>s/den videnskabsetiske lægemiddelkomités godkendelse af et forsøg, eller for at betingelserne for godkendelsen ikke er efterlevet.</w:t>
      </w:r>
    </w:p>
    <w:p w14:paraId="338EB1C4" w14:textId="77777777" w:rsidR="0016270D" w:rsidRDefault="0016270D" w:rsidP="0016270D">
      <w:pPr>
        <w:rPr>
          <w:rFonts w:eastAsia="Times New Roman" w:cs="Times New Roman"/>
          <w:color w:val="000000"/>
          <w:lang w:eastAsia="da-DK"/>
        </w:rPr>
      </w:pPr>
    </w:p>
    <w:p w14:paraId="04468DFD" w14:textId="77777777" w:rsidR="0016270D" w:rsidRPr="00577043" w:rsidRDefault="0016270D" w:rsidP="0016270D">
      <w:pPr>
        <w:rPr>
          <w:rFonts w:eastAsia="Times New Roman" w:cs="Times New Roman"/>
          <w:color w:val="000000"/>
          <w:lang w:eastAsia="da-DK"/>
        </w:rPr>
      </w:pPr>
      <w:r w:rsidRPr="00577043">
        <w:rPr>
          <w:rFonts w:eastAsia="Times New Roman" w:cs="Times New Roman"/>
          <w:color w:val="000000"/>
          <w:lang w:eastAsia="da-DK"/>
        </w:rPr>
        <w:t xml:space="preserve">Godtgørelsens størrelse reguleres årligt pr. 1. januar med 2,0 procent tillagt tilpasningsprocenten for det pågældende finansår, jf. lov om en satsreguleringsprocent, jf. den foreslåede </w:t>
      </w:r>
      <w:r w:rsidRPr="007D35F7">
        <w:rPr>
          <w:rFonts w:eastAsia="Times New Roman" w:cs="Times New Roman"/>
          <w:i/>
          <w:color w:val="000000"/>
          <w:lang w:eastAsia="da-DK"/>
        </w:rPr>
        <w:t xml:space="preserve">§ </w:t>
      </w:r>
      <w:r>
        <w:rPr>
          <w:rFonts w:eastAsia="Times New Roman" w:cs="Times New Roman"/>
          <w:i/>
          <w:color w:val="000000"/>
          <w:lang w:eastAsia="da-DK"/>
        </w:rPr>
        <w:t>34</w:t>
      </w:r>
      <w:r w:rsidRPr="007D35F7">
        <w:rPr>
          <w:rFonts w:eastAsia="Times New Roman" w:cs="Times New Roman"/>
          <w:i/>
          <w:color w:val="000000"/>
          <w:lang w:eastAsia="da-DK"/>
        </w:rPr>
        <w:t>, stk. 2</w:t>
      </w:r>
      <w:r w:rsidRPr="00577043">
        <w:rPr>
          <w:rFonts w:eastAsia="Times New Roman" w:cs="Times New Roman"/>
          <w:color w:val="000000"/>
          <w:lang w:eastAsia="da-DK"/>
        </w:rPr>
        <w:t xml:space="preserve">. Godtgørelsen fastsættes på grundlag af de beløb, der var gældende på det tidspunkt, hvor forsøgspersonen deltog i projektet, jf. </w:t>
      </w:r>
      <w:r>
        <w:rPr>
          <w:rFonts w:eastAsia="Times New Roman" w:cs="Times New Roman"/>
          <w:color w:val="000000"/>
          <w:lang w:eastAsia="da-DK"/>
        </w:rPr>
        <w:t xml:space="preserve">den foreslåede </w:t>
      </w:r>
      <w:r w:rsidRPr="007D35F7">
        <w:rPr>
          <w:rFonts w:eastAsia="Times New Roman" w:cs="Times New Roman"/>
          <w:i/>
          <w:color w:val="000000"/>
          <w:lang w:eastAsia="da-DK"/>
        </w:rPr>
        <w:t xml:space="preserve">§ </w:t>
      </w:r>
      <w:r>
        <w:rPr>
          <w:rFonts w:eastAsia="Times New Roman" w:cs="Times New Roman"/>
          <w:i/>
          <w:color w:val="000000"/>
          <w:lang w:eastAsia="da-DK"/>
        </w:rPr>
        <w:t>34</w:t>
      </w:r>
      <w:r w:rsidRPr="007D35F7">
        <w:rPr>
          <w:rFonts w:eastAsia="Times New Roman" w:cs="Times New Roman"/>
          <w:i/>
          <w:color w:val="000000"/>
          <w:lang w:eastAsia="da-DK"/>
        </w:rPr>
        <w:t>, stk. 3</w:t>
      </w:r>
      <w:r w:rsidRPr="00577043">
        <w:rPr>
          <w:rFonts w:eastAsia="Times New Roman" w:cs="Times New Roman"/>
          <w:color w:val="000000"/>
          <w:lang w:eastAsia="da-DK"/>
        </w:rPr>
        <w:t>. Disse bestemmelser er en videreførelse af reglerne i komitéloven.</w:t>
      </w:r>
    </w:p>
    <w:p w14:paraId="21C1D7F6" w14:textId="77777777" w:rsidR="0016270D" w:rsidRDefault="0016270D" w:rsidP="0016270D">
      <w:pPr>
        <w:rPr>
          <w:rFonts w:eastAsia="Times New Roman" w:cs="Times New Roman"/>
          <w:color w:val="000000"/>
          <w:lang w:eastAsia="da-DK"/>
        </w:rPr>
      </w:pPr>
    </w:p>
    <w:p w14:paraId="2486C2EC" w14:textId="77777777" w:rsidR="0016270D" w:rsidRPr="00577043" w:rsidRDefault="0016270D" w:rsidP="0016270D">
      <w:pPr>
        <w:rPr>
          <w:rFonts w:eastAsia="Times New Roman" w:cs="Times New Roman"/>
          <w:color w:val="000000"/>
          <w:lang w:eastAsia="da-DK"/>
        </w:rPr>
      </w:pPr>
      <w:r>
        <w:rPr>
          <w:rFonts w:eastAsia="Times New Roman" w:cs="Times New Roman"/>
          <w:color w:val="000000"/>
          <w:lang w:eastAsia="da-DK"/>
        </w:rPr>
        <w:t xml:space="preserve">Den foreslåede bestemmelse </w:t>
      </w:r>
      <w:r w:rsidRPr="00577043">
        <w:rPr>
          <w:rFonts w:eastAsia="Times New Roman" w:cs="Times New Roman"/>
          <w:color w:val="000000"/>
          <w:lang w:eastAsia="da-DK"/>
        </w:rPr>
        <w:t>supplerer erstatningsansvarsloven og de almindelige erstatningsretlige regler, jf. den forslåe</w:t>
      </w:r>
      <w:r>
        <w:rPr>
          <w:rFonts w:eastAsia="Times New Roman" w:cs="Times New Roman"/>
          <w:color w:val="000000"/>
          <w:lang w:eastAsia="da-DK"/>
        </w:rPr>
        <w:t xml:space="preserve">de </w:t>
      </w:r>
      <w:r w:rsidRPr="00831E57">
        <w:rPr>
          <w:rFonts w:eastAsia="Times New Roman" w:cs="Times New Roman"/>
          <w:i/>
          <w:color w:val="000000"/>
          <w:lang w:eastAsia="da-DK"/>
        </w:rPr>
        <w:t>§</w:t>
      </w:r>
      <w:r w:rsidR="00650D5D">
        <w:rPr>
          <w:rFonts w:eastAsia="Times New Roman" w:cs="Times New Roman"/>
          <w:i/>
          <w:color w:val="000000"/>
          <w:lang w:eastAsia="da-DK"/>
        </w:rPr>
        <w:t xml:space="preserve"> </w:t>
      </w:r>
      <w:r>
        <w:rPr>
          <w:rFonts w:eastAsia="Times New Roman" w:cs="Times New Roman"/>
          <w:i/>
          <w:color w:val="000000"/>
          <w:lang w:eastAsia="da-DK"/>
        </w:rPr>
        <w:t>34</w:t>
      </w:r>
      <w:r w:rsidRPr="00831E57">
        <w:rPr>
          <w:rFonts w:eastAsia="Times New Roman" w:cs="Times New Roman"/>
          <w:i/>
          <w:color w:val="000000"/>
          <w:lang w:eastAsia="da-DK"/>
        </w:rPr>
        <w:t>, stk. 4</w:t>
      </w:r>
      <w:r w:rsidRPr="00577043">
        <w:rPr>
          <w:rFonts w:eastAsia="Times New Roman" w:cs="Times New Roman"/>
          <w:color w:val="000000"/>
          <w:lang w:eastAsia="da-DK"/>
        </w:rPr>
        <w:t xml:space="preserve">, hvorefter stk. 1 ikke er til hinder for, at forsøgspersonen kan søge et eventuelt erstatningskrav bedømt ved de almindelige domstole, herunder eventuelle erstatningskrav for personskader samt godtgørelse efter erstatningsansvarslovens § 26. </w:t>
      </w:r>
    </w:p>
    <w:p w14:paraId="60F0A74E" w14:textId="77777777" w:rsidR="0016270D" w:rsidRPr="00577043" w:rsidRDefault="0016270D" w:rsidP="0016270D">
      <w:pPr>
        <w:rPr>
          <w:rFonts w:eastAsia="Times New Roman" w:cs="Times New Roman"/>
          <w:color w:val="000000"/>
          <w:lang w:eastAsia="da-DK"/>
        </w:rPr>
      </w:pPr>
    </w:p>
    <w:p w14:paraId="0B4F57CC" w14:textId="77777777" w:rsidR="0016270D" w:rsidRDefault="0016270D" w:rsidP="0016270D">
      <w:pPr>
        <w:rPr>
          <w:rFonts w:eastAsia="Times New Roman" w:cs="Times New Roman"/>
          <w:color w:val="000000"/>
          <w:lang w:eastAsia="da-DK"/>
        </w:rPr>
      </w:pPr>
      <w:r>
        <w:rPr>
          <w:rFonts w:eastAsia="Times New Roman" w:cs="Times New Roman"/>
          <w:color w:val="000000"/>
          <w:lang w:eastAsia="da-DK"/>
        </w:rPr>
        <w:t xml:space="preserve">Endvidere finder </w:t>
      </w:r>
      <w:r w:rsidRPr="00577043">
        <w:rPr>
          <w:rFonts w:eastAsia="Times New Roman" w:cs="Times New Roman"/>
          <w:color w:val="000000"/>
          <w:lang w:eastAsia="da-DK"/>
        </w:rPr>
        <w:t xml:space="preserve">Patientforsikringsordningen i lov om klage- og erstatningsadgang inden for sundhedsvæsenet </w:t>
      </w:r>
      <w:r>
        <w:rPr>
          <w:rFonts w:eastAsia="Times New Roman" w:cs="Times New Roman"/>
          <w:color w:val="000000"/>
          <w:lang w:eastAsia="da-DK"/>
        </w:rPr>
        <w:t xml:space="preserve">også </w:t>
      </w:r>
      <w:r w:rsidRPr="00577043">
        <w:rPr>
          <w:rFonts w:eastAsia="Times New Roman" w:cs="Times New Roman"/>
          <w:color w:val="000000"/>
          <w:lang w:eastAsia="da-DK"/>
        </w:rPr>
        <w:t xml:space="preserve">anvendelse i forhold til både patienter, der indgår i forsøg, og raske forsøgspersoner. </w:t>
      </w:r>
    </w:p>
    <w:p w14:paraId="7DE7D544" w14:textId="77777777" w:rsidR="0016270D" w:rsidRDefault="0016270D" w:rsidP="0016270D">
      <w:pPr>
        <w:rPr>
          <w:rFonts w:eastAsia="Times New Roman" w:cs="Times New Roman"/>
          <w:color w:val="000000"/>
          <w:lang w:eastAsia="da-DK"/>
        </w:rPr>
      </w:pPr>
    </w:p>
    <w:p w14:paraId="41ED9FB1" w14:textId="77777777" w:rsidR="0016270D" w:rsidRPr="00577043" w:rsidRDefault="0016270D" w:rsidP="0016270D">
      <w:pPr>
        <w:rPr>
          <w:rFonts w:eastAsia="Times New Roman" w:cs="Times New Roman"/>
          <w:color w:val="000000"/>
          <w:lang w:eastAsia="da-DK"/>
        </w:rPr>
      </w:pPr>
      <w:r w:rsidRPr="00577043">
        <w:rPr>
          <w:rFonts w:eastAsia="Times New Roman" w:cs="Times New Roman"/>
          <w:color w:val="000000"/>
          <w:lang w:eastAsia="da-DK"/>
        </w:rPr>
        <w:t>Kravet om godtgørelse rejses af forsøgspersonen over for sponsor eller alternativt den forsøgsansvarlige, hvis sponsor ikke har værneting i Danmark. Almindelige regler om fuldmagt anvendes til at afgrænse, hvem der kan rejse kravet på en inhabil forsøgspersons vegne.</w:t>
      </w:r>
    </w:p>
    <w:p w14:paraId="54142B3B" w14:textId="77777777" w:rsidR="0016270D" w:rsidRPr="00577043" w:rsidRDefault="0016270D" w:rsidP="0016270D">
      <w:pPr>
        <w:rPr>
          <w:rFonts w:eastAsia="Times New Roman" w:cs="Times New Roman"/>
          <w:color w:val="000000"/>
          <w:lang w:eastAsia="da-DK"/>
        </w:rPr>
      </w:pPr>
    </w:p>
    <w:p w14:paraId="24CB5FC9" w14:textId="77777777" w:rsidR="0016270D" w:rsidRPr="00577043" w:rsidRDefault="0016270D" w:rsidP="0016270D">
      <w:pPr>
        <w:rPr>
          <w:rFonts w:eastAsia="Times New Roman" w:cs="Times New Roman"/>
          <w:color w:val="000000"/>
          <w:lang w:eastAsia="da-DK"/>
        </w:rPr>
      </w:pPr>
      <w:r w:rsidRPr="00577043">
        <w:rPr>
          <w:rFonts w:eastAsia="Times New Roman" w:cs="Times New Roman"/>
          <w:color w:val="000000"/>
          <w:lang w:eastAsia="da-DK"/>
        </w:rPr>
        <w:t xml:space="preserve">Eventuelle tvister kan indbringes for de almindelige domstole. Komitésystemet kan således ikke involveres i en sag om et evt. krav om godtgørelse til en forsøgsperson. Godtgørelsen skal ikke betales, hvis sponsor eller den forsøgsansvarlige kan dokumentere, at der var tale om en fejl, som denne ikke er ansvarlig for efter dansk rets almindelige regler herom, jf. den tilsvarende afgrænsning af erstatningsansvarslovens § 26. </w:t>
      </w:r>
    </w:p>
    <w:p w14:paraId="29266455" w14:textId="77777777" w:rsidR="0016270D" w:rsidRPr="00577043" w:rsidRDefault="0016270D" w:rsidP="0016270D">
      <w:pPr>
        <w:rPr>
          <w:rFonts w:eastAsia="Times New Roman" w:cs="Times New Roman"/>
          <w:color w:val="000000"/>
          <w:lang w:eastAsia="da-DK"/>
        </w:rPr>
      </w:pPr>
    </w:p>
    <w:p w14:paraId="40E3E134" w14:textId="77777777" w:rsidR="0016270D" w:rsidRPr="00577043" w:rsidRDefault="0016270D" w:rsidP="0016270D">
      <w:pPr>
        <w:rPr>
          <w:rFonts w:eastAsia="Times New Roman" w:cs="Times New Roman"/>
          <w:color w:val="000000"/>
          <w:lang w:eastAsia="da-DK"/>
        </w:rPr>
      </w:pPr>
      <w:r w:rsidRPr="00577043">
        <w:rPr>
          <w:rFonts w:eastAsia="Times New Roman" w:cs="Times New Roman"/>
          <w:color w:val="000000"/>
          <w:lang w:eastAsia="da-DK"/>
        </w:rPr>
        <w:t xml:space="preserve">Med </w:t>
      </w:r>
      <w:r w:rsidRPr="006D1DA3">
        <w:rPr>
          <w:rFonts w:eastAsia="Times New Roman" w:cs="Times New Roman"/>
          <w:i/>
          <w:color w:val="000000"/>
          <w:lang w:eastAsia="da-DK"/>
        </w:rPr>
        <w:t>§</w:t>
      </w:r>
      <w:r w:rsidR="00650D5D">
        <w:rPr>
          <w:rFonts w:eastAsia="Times New Roman" w:cs="Times New Roman"/>
          <w:i/>
          <w:color w:val="000000"/>
          <w:lang w:eastAsia="da-DK"/>
        </w:rPr>
        <w:t xml:space="preserve"> </w:t>
      </w:r>
      <w:r>
        <w:rPr>
          <w:rFonts w:eastAsia="Times New Roman" w:cs="Times New Roman"/>
          <w:i/>
          <w:color w:val="000000"/>
          <w:lang w:eastAsia="da-DK"/>
        </w:rPr>
        <w:t>34</w:t>
      </w:r>
      <w:r w:rsidRPr="006D1DA3">
        <w:rPr>
          <w:rFonts w:eastAsia="Times New Roman" w:cs="Times New Roman"/>
          <w:i/>
          <w:color w:val="000000"/>
          <w:lang w:eastAsia="da-DK"/>
        </w:rPr>
        <w:t>, stk. 5</w:t>
      </w:r>
      <w:r w:rsidRPr="00577043">
        <w:rPr>
          <w:rFonts w:eastAsia="Times New Roman" w:cs="Times New Roman"/>
          <w:color w:val="000000"/>
          <w:lang w:eastAsia="da-DK"/>
        </w:rPr>
        <w:t xml:space="preserve">, foreslås det som noget nyt, at en videnskabsetisk lægemiddelkomité, </w:t>
      </w:r>
      <w:r>
        <w:rPr>
          <w:rFonts w:eastAsia="Times New Roman" w:cs="Times New Roman"/>
          <w:color w:val="000000"/>
          <w:lang w:eastAsia="da-DK"/>
        </w:rPr>
        <w:t>som</w:t>
      </w:r>
      <w:r w:rsidRPr="00577043">
        <w:rPr>
          <w:rFonts w:eastAsia="Times New Roman" w:cs="Times New Roman"/>
          <w:color w:val="000000"/>
          <w:lang w:eastAsia="da-DK"/>
        </w:rPr>
        <w:t xml:space="preserve"> bliver opmærksom på, at en forsøgsperson kan have et krav på godtgørelse, kan påbyde sponsor, eller hvis denne ikke har værneting i Danmark, investigator, at informere de berørte personer herom. Komiteen kan stille krav om form og indhold af informationen. Komiteen kan endvidere sætte en frist for udsendelse af informationen.</w:t>
      </w:r>
    </w:p>
    <w:p w14:paraId="014356F2" w14:textId="77777777" w:rsidR="0016270D" w:rsidRPr="00577043" w:rsidRDefault="0016270D" w:rsidP="0016270D">
      <w:pPr>
        <w:rPr>
          <w:rFonts w:eastAsia="Times New Roman" w:cs="Times New Roman"/>
          <w:b/>
          <w:color w:val="000000"/>
          <w:lang w:eastAsia="da-DK"/>
        </w:rPr>
      </w:pPr>
    </w:p>
    <w:p w14:paraId="0F6B273B" w14:textId="77777777" w:rsidR="0016270D" w:rsidRPr="00577043" w:rsidRDefault="0016270D" w:rsidP="0016270D">
      <w:pPr>
        <w:rPr>
          <w:rFonts w:eastAsia="Times New Roman" w:cs="Times New Roman"/>
          <w:iCs/>
          <w:color w:val="000000"/>
          <w:lang w:eastAsia="da-DK"/>
        </w:rPr>
      </w:pPr>
      <w:r w:rsidRPr="00577043">
        <w:rPr>
          <w:rFonts w:eastAsia="Times New Roman" w:cs="Times New Roman"/>
          <w:iCs/>
          <w:color w:val="000000"/>
          <w:lang w:eastAsia="da-DK"/>
        </w:rPr>
        <w:t>Der henvises i øvrigt til afsnit 2.1.7. i de almindelige bemærkninger.</w:t>
      </w:r>
    </w:p>
    <w:p w14:paraId="1CCCC772" w14:textId="77777777" w:rsidR="0016270D" w:rsidRPr="00577043" w:rsidRDefault="0016270D" w:rsidP="0016270D">
      <w:pPr>
        <w:rPr>
          <w:rFonts w:eastAsia="Times New Roman" w:cs="Times New Roman"/>
          <w:b/>
          <w:color w:val="000000"/>
          <w:lang w:eastAsia="da-DK"/>
        </w:rPr>
      </w:pPr>
    </w:p>
    <w:p w14:paraId="770C2A8D" w14:textId="77777777" w:rsidR="00C71731" w:rsidRPr="00577043" w:rsidRDefault="00C71731" w:rsidP="00173F41">
      <w:pPr>
        <w:pStyle w:val="Overskrift2"/>
        <w:jc w:val="left"/>
        <w:rPr>
          <w:rFonts w:eastAsia="Times New Roman" w:cs="Times New Roman"/>
          <w:lang w:eastAsia="da-DK"/>
        </w:rPr>
      </w:pPr>
      <w:r w:rsidRPr="00577043">
        <w:rPr>
          <w:rFonts w:eastAsia="Times New Roman" w:cs="Times New Roman"/>
          <w:iCs/>
          <w:lang w:eastAsia="da-DK"/>
        </w:rPr>
        <w:t xml:space="preserve">Til § </w:t>
      </w:r>
      <w:r w:rsidR="00D53BF4">
        <w:rPr>
          <w:rFonts w:eastAsia="Times New Roman" w:cs="Times New Roman"/>
          <w:iCs/>
          <w:lang w:eastAsia="da-DK"/>
        </w:rPr>
        <w:t>3</w:t>
      </w:r>
      <w:r w:rsidR="0016270D">
        <w:rPr>
          <w:rFonts w:eastAsia="Times New Roman" w:cs="Times New Roman"/>
          <w:iCs/>
          <w:lang w:eastAsia="da-DK"/>
        </w:rPr>
        <w:t>5</w:t>
      </w:r>
      <w:r w:rsidRPr="00577043">
        <w:rPr>
          <w:rFonts w:eastAsia="Times New Roman" w:cs="Times New Roman"/>
          <w:iCs/>
          <w:lang w:eastAsia="da-DK"/>
        </w:rPr>
        <w:t xml:space="preserve"> </w:t>
      </w:r>
      <w:r w:rsidR="009E418D" w:rsidRPr="00577043">
        <w:rPr>
          <w:rFonts w:eastAsia="Times New Roman" w:cs="Times New Roman"/>
          <w:lang w:eastAsia="da-DK"/>
        </w:rPr>
        <w:t>[Straf</w:t>
      </w:r>
      <w:r w:rsidRPr="00577043">
        <w:rPr>
          <w:rFonts w:eastAsia="Times New Roman" w:cs="Times New Roman"/>
          <w:lang w:eastAsia="da-DK"/>
        </w:rPr>
        <w:t>]</w:t>
      </w:r>
    </w:p>
    <w:p w14:paraId="28C96C61" w14:textId="77777777" w:rsidR="002B0201" w:rsidRDefault="00DD6FB7" w:rsidP="009E418D">
      <w:pPr>
        <w:rPr>
          <w:rFonts w:eastAsia="Times New Roman" w:cs="Times New Roman"/>
          <w:color w:val="000000"/>
          <w:lang w:eastAsia="da-DK"/>
        </w:rPr>
      </w:pPr>
      <w:r>
        <w:rPr>
          <w:rFonts w:eastAsia="Times New Roman" w:cs="Times New Roman"/>
          <w:color w:val="000000"/>
          <w:lang w:eastAsia="da-DK"/>
        </w:rPr>
        <w:t xml:space="preserve">Ifølge § 104 i lægemiddelloven og § 41 komitéloven er det strafbelagt at </w:t>
      </w:r>
      <w:r w:rsidR="004474AA">
        <w:rPr>
          <w:rFonts w:eastAsia="Times New Roman" w:cs="Times New Roman"/>
          <w:color w:val="000000"/>
          <w:lang w:eastAsia="da-DK"/>
        </w:rPr>
        <w:t xml:space="preserve">iværksætte et projekt uden tilladelse, eller i strid med vilkårene for tilladelsen, </w:t>
      </w:r>
      <w:r w:rsidR="00486102">
        <w:rPr>
          <w:rFonts w:eastAsia="Times New Roman" w:cs="Times New Roman"/>
          <w:color w:val="000000"/>
          <w:lang w:eastAsia="da-DK"/>
        </w:rPr>
        <w:t xml:space="preserve">overtræde regler om god klinisk praksis, </w:t>
      </w:r>
      <w:r w:rsidR="004474AA">
        <w:rPr>
          <w:rFonts w:eastAsia="Times New Roman" w:cs="Times New Roman"/>
          <w:color w:val="000000"/>
          <w:lang w:eastAsia="da-DK"/>
        </w:rPr>
        <w:t>undlade at efterkomme pligten til at underrette om bivirkninger m</w:t>
      </w:r>
      <w:r w:rsidR="00094421">
        <w:rPr>
          <w:rFonts w:eastAsia="Times New Roman" w:cs="Times New Roman"/>
          <w:color w:val="000000"/>
          <w:lang w:eastAsia="da-DK"/>
        </w:rPr>
        <w:t>.</w:t>
      </w:r>
      <w:r w:rsidR="004474AA">
        <w:rPr>
          <w:rFonts w:eastAsia="Times New Roman" w:cs="Times New Roman"/>
          <w:color w:val="000000"/>
          <w:lang w:eastAsia="da-DK"/>
        </w:rPr>
        <w:t xml:space="preserve">v.,  </w:t>
      </w:r>
      <w:r w:rsidR="00E47682">
        <w:rPr>
          <w:rFonts w:eastAsia="Times New Roman" w:cs="Times New Roman"/>
          <w:color w:val="000000"/>
          <w:lang w:eastAsia="da-DK"/>
        </w:rPr>
        <w:t xml:space="preserve">undlade at </w:t>
      </w:r>
      <w:r w:rsidR="00486102">
        <w:rPr>
          <w:rFonts w:eastAsia="Times New Roman" w:cs="Times New Roman"/>
          <w:color w:val="000000"/>
          <w:lang w:eastAsia="da-DK"/>
        </w:rPr>
        <w:t>underrette lægemidlet</w:t>
      </w:r>
      <w:r w:rsidR="00E47682">
        <w:rPr>
          <w:rFonts w:eastAsia="Times New Roman" w:cs="Times New Roman"/>
          <w:color w:val="000000"/>
          <w:lang w:eastAsia="da-DK"/>
        </w:rPr>
        <w:t>s</w:t>
      </w:r>
      <w:r w:rsidR="00486102">
        <w:rPr>
          <w:rFonts w:eastAsia="Times New Roman" w:cs="Times New Roman"/>
          <w:color w:val="000000"/>
          <w:lang w:eastAsia="da-DK"/>
        </w:rPr>
        <w:t xml:space="preserve"> fremstiller om en ansøgning, </w:t>
      </w:r>
      <w:r w:rsidR="004474AA">
        <w:rPr>
          <w:rFonts w:eastAsia="Times New Roman" w:cs="Times New Roman"/>
          <w:color w:val="000000"/>
          <w:lang w:eastAsia="da-DK"/>
        </w:rPr>
        <w:t xml:space="preserve">undlade at udlevere oplysninger til brug for </w:t>
      </w:r>
      <w:r w:rsidR="00AD484F">
        <w:rPr>
          <w:rFonts w:eastAsia="Times New Roman" w:cs="Times New Roman"/>
          <w:color w:val="000000"/>
          <w:lang w:eastAsia="da-DK"/>
        </w:rPr>
        <w:t>kontrol</w:t>
      </w:r>
      <w:r w:rsidR="004474AA">
        <w:rPr>
          <w:rFonts w:eastAsia="Times New Roman" w:cs="Times New Roman"/>
          <w:color w:val="000000"/>
          <w:lang w:eastAsia="da-DK"/>
        </w:rPr>
        <w:t xml:space="preserve"> med forsøget, </w:t>
      </w:r>
      <w:r w:rsidR="003C60ED">
        <w:rPr>
          <w:rFonts w:eastAsia="Times New Roman" w:cs="Times New Roman"/>
          <w:color w:val="000000"/>
          <w:lang w:eastAsia="da-DK"/>
        </w:rPr>
        <w:t>nægte</w:t>
      </w:r>
      <w:r w:rsidR="004474AA">
        <w:rPr>
          <w:rFonts w:eastAsia="Times New Roman" w:cs="Times New Roman"/>
          <w:color w:val="000000"/>
          <w:lang w:eastAsia="da-DK"/>
        </w:rPr>
        <w:t xml:space="preserve"> adgang til et sted der er berørt af forsøget</w:t>
      </w:r>
      <w:r w:rsidR="00E47682">
        <w:rPr>
          <w:rFonts w:eastAsia="Times New Roman" w:cs="Times New Roman"/>
          <w:color w:val="000000"/>
          <w:lang w:eastAsia="da-DK"/>
        </w:rPr>
        <w:t xml:space="preserve">, </w:t>
      </w:r>
      <w:r w:rsidR="003C60ED">
        <w:rPr>
          <w:rFonts w:eastAsia="Times New Roman" w:cs="Times New Roman"/>
          <w:color w:val="000000"/>
          <w:lang w:eastAsia="da-DK"/>
        </w:rPr>
        <w:t xml:space="preserve">undlade at følge et påbud om at standse et forsøg, </w:t>
      </w:r>
      <w:r w:rsidR="00E47682">
        <w:rPr>
          <w:rFonts w:eastAsia="Times New Roman" w:cs="Times New Roman"/>
          <w:color w:val="000000"/>
          <w:lang w:eastAsia="da-DK"/>
        </w:rPr>
        <w:t xml:space="preserve">eller </w:t>
      </w:r>
      <w:r w:rsidR="003C60ED">
        <w:rPr>
          <w:rFonts w:eastAsia="Times New Roman" w:cs="Times New Roman"/>
          <w:color w:val="000000"/>
          <w:lang w:eastAsia="da-DK"/>
        </w:rPr>
        <w:t>overtræde</w:t>
      </w:r>
      <w:r w:rsidR="00E47682">
        <w:rPr>
          <w:rFonts w:eastAsia="Times New Roman" w:cs="Times New Roman"/>
          <w:color w:val="000000"/>
          <w:lang w:eastAsia="da-DK"/>
        </w:rPr>
        <w:t xml:space="preserve"> regler om god fremstillingspraksis for lægemidlet</w:t>
      </w:r>
      <w:r w:rsidR="004474AA">
        <w:rPr>
          <w:rFonts w:eastAsia="Times New Roman" w:cs="Times New Roman"/>
          <w:color w:val="000000"/>
          <w:lang w:eastAsia="da-DK"/>
        </w:rPr>
        <w:t xml:space="preserve">. </w:t>
      </w:r>
    </w:p>
    <w:p w14:paraId="524F9EED" w14:textId="77777777" w:rsidR="002B0201" w:rsidRDefault="002B0201" w:rsidP="009E418D">
      <w:pPr>
        <w:rPr>
          <w:rFonts w:eastAsia="Times New Roman" w:cs="Times New Roman"/>
          <w:color w:val="000000"/>
          <w:lang w:eastAsia="da-DK"/>
        </w:rPr>
      </w:pPr>
    </w:p>
    <w:p w14:paraId="5390D432" w14:textId="77777777" w:rsidR="009E418D" w:rsidRPr="00577043" w:rsidDel="00D71C2E" w:rsidRDefault="00277A5D" w:rsidP="009E418D">
      <w:pPr>
        <w:rPr>
          <w:rFonts w:eastAsia="Times New Roman" w:cs="Times New Roman"/>
          <w:color w:val="000000"/>
          <w:lang w:eastAsia="da-DK"/>
        </w:rPr>
      </w:pPr>
      <w:r>
        <w:rPr>
          <w:rFonts w:eastAsia="Times New Roman" w:cs="Times New Roman"/>
          <w:color w:val="000000"/>
          <w:lang w:eastAsia="da-DK"/>
        </w:rPr>
        <w:t xml:space="preserve">Ifølge forordningens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Pr>
          <w:rFonts w:eastAsia="Times New Roman" w:cs="Times New Roman"/>
          <w:color w:val="000000"/>
          <w:lang w:eastAsia="da-DK"/>
        </w:rPr>
        <w:t xml:space="preserve"> 94 skal m</w:t>
      </w:r>
      <w:r w:rsidR="009E418D" w:rsidRPr="00577043">
        <w:rPr>
          <w:rFonts w:eastAsia="Times New Roman" w:cs="Times New Roman"/>
          <w:color w:val="000000"/>
          <w:lang w:eastAsia="da-DK"/>
        </w:rPr>
        <w:t xml:space="preserve">edlemsstaterne fastsætte bestemmelser om sanktioner for overtrædelse af forordningen og træffe alle nødvendige foranstaltninger til at sikre, at de gennemføres. Sanktionerne skal være effektive, stå i rimeligt forhold til overtrædelsen og have afskrækkende virkning. </w:t>
      </w:r>
    </w:p>
    <w:p w14:paraId="762963CB" w14:textId="77777777" w:rsidR="009E418D" w:rsidRPr="00577043" w:rsidDel="00D71C2E" w:rsidRDefault="009E418D" w:rsidP="009E418D">
      <w:pPr>
        <w:rPr>
          <w:rFonts w:eastAsia="Times New Roman" w:cs="Times New Roman"/>
          <w:color w:val="000000"/>
          <w:lang w:eastAsia="da-DK"/>
        </w:rPr>
      </w:pPr>
    </w:p>
    <w:p w14:paraId="2CE65696" w14:textId="77777777" w:rsidR="009E41F2" w:rsidRDefault="009E41F2" w:rsidP="009E41F2">
      <w:pPr>
        <w:rPr>
          <w:rFonts w:eastAsia="Times New Roman" w:cs="Times New Roman"/>
          <w:color w:val="000000"/>
          <w:lang w:eastAsia="da-DK"/>
        </w:rPr>
      </w:pPr>
      <w:r>
        <w:rPr>
          <w:rFonts w:eastAsia="Times New Roman" w:cs="Times New Roman"/>
          <w:color w:val="000000"/>
          <w:lang w:eastAsia="da-DK"/>
        </w:rPr>
        <w:t>Der skal i medfør af</w:t>
      </w:r>
      <w:r w:rsidRPr="00577043">
        <w:rPr>
          <w:rFonts w:eastAsia="Times New Roman" w:cs="Times New Roman"/>
          <w:color w:val="000000"/>
          <w:lang w:eastAsia="da-DK"/>
        </w:rPr>
        <w:t xml:space="preserve">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sidRPr="00577043">
        <w:rPr>
          <w:rFonts w:eastAsia="Times New Roman" w:cs="Times New Roman"/>
          <w:color w:val="000000"/>
          <w:lang w:eastAsia="da-DK"/>
        </w:rPr>
        <w:t xml:space="preserve"> </w:t>
      </w:r>
      <w:r w:rsidRPr="00577043">
        <w:rPr>
          <w:rFonts w:eastAsia="Times New Roman" w:cs="Times New Roman"/>
          <w:color w:val="000000"/>
          <w:lang w:eastAsia="da-DK"/>
        </w:rPr>
        <w:t>94</w:t>
      </w:r>
      <w:r>
        <w:rPr>
          <w:rFonts w:eastAsia="Times New Roman" w:cs="Times New Roman"/>
          <w:color w:val="000000"/>
          <w:lang w:eastAsia="da-DK"/>
        </w:rPr>
        <w:t>, stk. 2,</w:t>
      </w:r>
      <w:r w:rsidRPr="00577043">
        <w:rPr>
          <w:rFonts w:eastAsia="Times New Roman" w:cs="Times New Roman"/>
          <w:color w:val="000000"/>
          <w:lang w:eastAsia="da-DK"/>
        </w:rPr>
        <w:t xml:space="preserve"> fastsætte</w:t>
      </w:r>
      <w:r>
        <w:rPr>
          <w:rFonts w:eastAsia="Times New Roman" w:cs="Times New Roman"/>
          <w:color w:val="000000"/>
          <w:lang w:eastAsia="da-DK"/>
        </w:rPr>
        <w:t>s sanktioner rettet mod bl.a.:</w:t>
      </w:r>
      <w:r w:rsidRPr="00577043">
        <w:rPr>
          <w:rFonts w:eastAsia="Times New Roman" w:cs="Times New Roman"/>
          <w:color w:val="000000"/>
          <w:lang w:eastAsia="da-DK"/>
        </w:rPr>
        <w:t xml:space="preserve"> </w:t>
      </w:r>
    </w:p>
    <w:p w14:paraId="1B948B71" w14:textId="77777777" w:rsidR="009E41F2" w:rsidRPr="00577043" w:rsidRDefault="009E41F2" w:rsidP="009E41F2">
      <w:pPr>
        <w:rPr>
          <w:rFonts w:eastAsia="Times New Roman" w:cs="Times New Roman"/>
          <w:color w:val="000000"/>
          <w:lang w:eastAsia="da-DK"/>
        </w:rPr>
      </w:pPr>
      <w:r w:rsidRPr="00577043">
        <w:rPr>
          <w:rFonts w:eastAsia="Times New Roman" w:cs="Times New Roman"/>
          <w:color w:val="000000"/>
          <w:lang w:eastAsia="da-DK"/>
        </w:rPr>
        <w:t xml:space="preserve">a) manglende overholdelse af bestemmerne i forordningen om indgivelse af oplysninger, </w:t>
      </w:r>
      <w:r>
        <w:rPr>
          <w:rFonts w:eastAsia="Times New Roman" w:cs="Times New Roman"/>
          <w:color w:val="000000"/>
          <w:lang w:eastAsia="da-DK"/>
        </w:rPr>
        <w:t xml:space="preserve">der </w:t>
      </w:r>
      <w:r w:rsidRPr="00577043">
        <w:rPr>
          <w:rFonts w:eastAsia="Times New Roman" w:cs="Times New Roman"/>
          <w:color w:val="000000"/>
          <w:lang w:eastAsia="da-DK"/>
        </w:rPr>
        <w:t xml:space="preserve">skal gøres offentligt tilgængelige, til EU-databasen, og </w:t>
      </w:r>
    </w:p>
    <w:p w14:paraId="2CB62473" w14:textId="77777777" w:rsidR="009E41F2" w:rsidRDefault="009E41F2" w:rsidP="009E41F2">
      <w:pPr>
        <w:rPr>
          <w:rFonts w:eastAsia="Times New Roman" w:cs="Times New Roman"/>
          <w:color w:val="000000"/>
          <w:lang w:eastAsia="da-DK"/>
        </w:rPr>
      </w:pPr>
      <w:r w:rsidRPr="00577043">
        <w:rPr>
          <w:rFonts w:eastAsia="Times New Roman" w:cs="Times New Roman"/>
          <w:color w:val="000000"/>
          <w:lang w:eastAsia="da-DK"/>
        </w:rPr>
        <w:t xml:space="preserve">b) manglende overholdelse af bestemmelserne i forordningen </w:t>
      </w:r>
      <w:r>
        <w:rPr>
          <w:rFonts w:eastAsia="Times New Roman" w:cs="Times New Roman"/>
          <w:color w:val="000000"/>
          <w:lang w:eastAsia="da-DK"/>
        </w:rPr>
        <w:t xml:space="preserve">om </w:t>
      </w:r>
      <w:r w:rsidRPr="00577043">
        <w:rPr>
          <w:rFonts w:eastAsia="Times New Roman" w:cs="Times New Roman"/>
          <w:color w:val="000000"/>
          <w:lang w:eastAsia="da-DK"/>
        </w:rPr>
        <w:t>forsøgspersoners sikkerhed.</w:t>
      </w:r>
      <w:r>
        <w:rPr>
          <w:rFonts w:eastAsia="Times New Roman" w:cs="Times New Roman"/>
          <w:color w:val="000000"/>
          <w:lang w:eastAsia="da-DK"/>
        </w:rPr>
        <w:t xml:space="preserve"> </w:t>
      </w:r>
    </w:p>
    <w:p w14:paraId="62A124AB" w14:textId="77777777" w:rsidR="009E418D" w:rsidRDefault="009E418D" w:rsidP="009E418D">
      <w:pPr>
        <w:rPr>
          <w:rFonts w:eastAsia="Times New Roman" w:cs="Times New Roman"/>
          <w:color w:val="000000"/>
          <w:lang w:eastAsia="da-DK"/>
        </w:rPr>
      </w:pPr>
    </w:p>
    <w:p w14:paraId="5B08AC9B" w14:textId="77777777" w:rsidR="002B0201" w:rsidRDefault="009E418D" w:rsidP="00B05136">
      <w:pPr>
        <w:rPr>
          <w:rFonts w:eastAsia="Times New Roman" w:cs="Times New Roman"/>
          <w:color w:val="000000"/>
          <w:lang w:eastAsia="da-DK"/>
        </w:rPr>
      </w:pPr>
      <w:r w:rsidRPr="00577043">
        <w:rPr>
          <w:rFonts w:eastAsia="Times New Roman" w:cs="Times New Roman"/>
          <w:color w:val="000000"/>
          <w:lang w:eastAsia="da-DK"/>
        </w:rPr>
        <w:t xml:space="preserve">Det følger endvidere af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sidRPr="00577043">
        <w:rPr>
          <w:rFonts w:eastAsia="Times New Roman" w:cs="Times New Roman"/>
          <w:color w:val="000000"/>
          <w:lang w:eastAsia="da-DK"/>
        </w:rPr>
        <w:t xml:space="preserve"> </w:t>
      </w:r>
      <w:r w:rsidRPr="00577043">
        <w:rPr>
          <w:rFonts w:eastAsia="Times New Roman" w:cs="Times New Roman"/>
          <w:color w:val="000000"/>
          <w:lang w:eastAsia="da-DK"/>
        </w:rPr>
        <w:t>95, at forordningen ikke berører nationale bestemmelser og EU-bestemmelser om en sponsors eller en investigators civil- og strafferetlige ansvar.</w:t>
      </w:r>
    </w:p>
    <w:p w14:paraId="76D29324" w14:textId="77777777" w:rsidR="002B0201" w:rsidRDefault="002B0201" w:rsidP="00B05136">
      <w:pPr>
        <w:rPr>
          <w:rFonts w:eastAsia="Times New Roman" w:cs="Times New Roman"/>
          <w:color w:val="000000"/>
          <w:lang w:eastAsia="da-DK"/>
        </w:rPr>
      </w:pPr>
    </w:p>
    <w:p w14:paraId="0763CE4F" w14:textId="77777777" w:rsidR="008C30A8" w:rsidRDefault="008C30A8" w:rsidP="00B05136">
      <w:pPr>
        <w:rPr>
          <w:rFonts w:eastAsia="Times New Roman" w:cs="Times New Roman"/>
          <w:color w:val="000000"/>
          <w:lang w:eastAsia="da-DK"/>
        </w:rPr>
      </w:pPr>
      <w:r>
        <w:rPr>
          <w:rFonts w:eastAsia="Times New Roman" w:cs="Times New Roman"/>
          <w:color w:val="000000"/>
          <w:lang w:eastAsia="da-DK"/>
        </w:rPr>
        <w:t>På den baggrund foreslås det at videreføre gældende straffebestemmelser i lægemiddelloven og komitéloven.</w:t>
      </w:r>
    </w:p>
    <w:p w14:paraId="1AEE547D" w14:textId="77777777" w:rsidR="008C30A8" w:rsidRPr="00577043" w:rsidRDefault="008C30A8" w:rsidP="00B05136">
      <w:pPr>
        <w:rPr>
          <w:rFonts w:eastAsia="Times New Roman" w:cs="Times New Roman"/>
          <w:color w:val="000000"/>
          <w:lang w:eastAsia="da-DK"/>
        </w:rPr>
      </w:pPr>
    </w:p>
    <w:p w14:paraId="442C0432" w14:textId="77777777" w:rsidR="009E418D" w:rsidRPr="00577043" w:rsidRDefault="006B2F43" w:rsidP="00B05136">
      <w:pPr>
        <w:rPr>
          <w:rFonts w:eastAsia="Times New Roman" w:cs="Times New Roman"/>
          <w:color w:val="000000"/>
          <w:lang w:eastAsia="da-DK"/>
        </w:rPr>
      </w:pPr>
      <w:r w:rsidRPr="00577043">
        <w:rPr>
          <w:rFonts w:eastAsia="Times New Roman" w:cs="Times New Roman"/>
          <w:color w:val="000000"/>
          <w:lang w:eastAsia="da-DK"/>
        </w:rPr>
        <w:t xml:space="preserve">Det foreslås </w:t>
      </w:r>
      <w:r w:rsidR="00833F67" w:rsidRPr="00577043">
        <w:rPr>
          <w:rFonts w:eastAsia="Times New Roman" w:cs="Times New Roman"/>
          <w:color w:val="000000"/>
          <w:lang w:eastAsia="da-DK"/>
        </w:rPr>
        <w:t>m</w:t>
      </w:r>
      <w:r w:rsidR="00A559BE" w:rsidRPr="00577043">
        <w:rPr>
          <w:rFonts w:eastAsia="Times New Roman" w:cs="Times New Roman"/>
          <w:color w:val="000000"/>
          <w:lang w:eastAsia="da-DK"/>
        </w:rPr>
        <w:t>e</w:t>
      </w:r>
      <w:r w:rsidR="00833F67" w:rsidRPr="00577043">
        <w:rPr>
          <w:rFonts w:eastAsia="Times New Roman" w:cs="Times New Roman"/>
          <w:color w:val="000000"/>
          <w:lang w:eastAsia="da-DK"/>
        </w:rPr>
        <w:t xml:space="preserve">d </w:t>
      </w:r>
      <w:r w:rsidR="00833F67" w:rsidRPr="006D1DA3">
        <w:rPr>
          <w:rFonts w:eastAsia="Times New Roman" w:cs="Times New Roman"/>
          <w:i/>
          <w:color w:val="000000"/>
          <w:lang w:eastAsia="da-DK"/>
        </w:rPr>
        <w:t xml:space="preserve">§ </w:t>
      </w:r>
      <w:r w:rsidR="00BC4C6C">
        <w:rPr>
          <w:rFonts w:eastAsia="Times New Roman" w:cs="Times New Roman"/>
          <w:i/>
          <w:color w:val="000000"/>
          <w:lang w:eastAsia="da-DK"/>
        </w:rPr>
        <w:t>3</w:t>
      </w:r>
      <w:r w:rsidR="0016270D">
        <w:rPr>
          <w:rFonts w:eastAsia="Times New Roman" w:cs="Times New Roman"/>
          <w:i/>
          <w:color w:val="000000"/>
          <w:lang w:eastAsia="da-DK"/>
        </w:rPr>
        <w:t>5</w:t>
      </w:r>
      <w:r w:rsidR="00833F67" w:rsidRPr="006D1DA3">
        <w:rPr>
          <w:rFonts w:eastAsia="Times New Roman" w:cs="Times New Roman"/>
          <w:i/>
          <w:color w:val="000000"/>
          <w:lang w:eastAsia="da-DK"/>
        </w:rPr>
        <w:t xml:space="preserve">, stk. 1, </w:t>
      </w:r>
      <w:r w:rsidR="006E7CDA" w:rsidRPr="006D1DA3">
        <w:rPr>
          <w:rFonts w:eastAsia="Times New Roman" w:cs="Times New Roman"/>
          <w:i/>
          <w:color w:val="000000"/>
          <w:lang w:eastAsia="da-DK"/>
        </w:rPr>
        <w:t>1. pkt.</w:t>
      </w:r>
      <w:r w:rsidR="006E7CDA">
        <w:rPr>
          <w:rFonts w:eastAsia="Times New Roman" w:cs="Times New Roman"/>
          <w:color w:val="000000"/>
          <w:lang w:eastAsia="da-DK"/>
        </w:rPr>
        <w:t xml:space="preserve">, </w:t>
      </w:r>
      <w:r w:rsidRPr="00577043">
        <w:rPr>
          <w:rFonts w:eastAsia="Times New Roman" w:cs="Times New Roman"/>
          <w:color w:val="000000"/>
          <w:lang w:eastAsia="da-DK"/>
        </w:rPr>
        <w:t>at straf kan bestå af bøde eller fængsel indtil 4 måneder, og at højere straf vil kunne ifaldes i medfør af andre love, herunder borgerlig straffelov.</w:t>
      </w:r>
      <w:r w:rsidR="00641F84">
        <w:rPr>
          <w:rFonts w:eastAsia="Times New Roman" w:cs="Times New Roman"/>
          <w:color w:val="000000"/>
          <w:lang w:eastAsia="da-DK"/>
        </w:rPr>
        <w:t xml:space="preserve"> Dette </w:t>
      </w:r>
      <w:r w:rsidR="00991438">
        <w:rPr>
          <w:rFonts w:eastAsia="Times New Roman" w:cs="Times New Roman"/>
          <w:color w:val="000000"/>
          <w:lang w:eastAsia="da-DK"/>
        </w:rPr>
        <w:t xml:space="preserve">er en videreførelse af </w:t>
      </w:r>
      <w:r w:rsidR="00641F84">
        <w:rPr>
          <w:rFonts w:eastAsia="Times New Roman" w:cs="Times New Roman"/>
          <w:color w:val="000000"/>
          <w:lang w:eastAsia="da-DK"/>
        </w:rPr>
        <w:t>bestemmelser</w:t>
      </w:r>
      <w:r w:rsidR="00991438">
        <w:rPr>
          <w:rFonts w:eastAsia="Times New Roman" w:cs="Times New Roman"/>
          <w:color w:val="000000"/>
          <w:lang w:eastAsia="da-DK"/>
        </w:rPr>
        <w:t>ne</w:t>
      </w:r>
      <w:r w:rsidR="00641F84">
        <w:rPr>
          <w:rFonts w:eastAsia="Times New Roman" w:cs="Times New Roman"/>
          <w:color w:val="000000"/>
          <w:lang w:eastAsia="da-DK"/>
        </w:rPr>
        <w:t xml:space="preserve"> i lægemiddelloven</w:t>
      </w:r>
      <w:r w:rsidR="00991438">
        <w:rPr>
          <w:rFonts w:eastAsia="Times New Roman" w:cs="Times New Roman"/>
          <w:color w:val="000000"/>
          <w:lang w:eastAsia="da-DK"/>
        </w:rPr>
        <w:t>s § 104</w:t>
      </w:r>
      <w:r w:rsidR="00641F84">
        <w:rPr>
          <w:rFonts w:eastAsia="Times New Roman" w:cs="Times New Roman"/>
          <w:color w:val="000000"/>
          <w:lang w:eastAsia="da-DK"/>
        </w:rPr>
        <w:t xml:space="preserve"> og komitéloven</w:t>
      </w:r>
      <w:r w:rsidR="00991438">
        <w:rPr>
          <w:rFonts w:eastAsia="Times New Roman" w:cs="Times New Roman"/>
          <w:color w:val="000000"/>
          <w:lang w:eastAsia="da-DK"/>
        </w:rPr>
        <w:t>s § 41</w:t>
      </w:r>
      <w:r w:rsidR="00641F84">
        <w:rPr>
          <w:rFonts w:eastAsia="Times New Roman" w:cs="Times New Roman"/>
          <w:color w:val="000000"/>
          <w:lang w:eastAsia="da-DK"/>
        </w:rPr>
        <w:t>.</w:t>
      </w:r>
    </w:p>
    <w:p w14:paraId="67A9C243" w14:textId="77777777" w:rsidR="009E418D" w:rsidRPr="00577043" w:rsidRDefault="009E418D" w:rsidP="00B05136">
      <w:pPr>
        <w:rPr>
          <w:rFonts w:eastAsia="Times New Roman" w:cs="Times New Roman"/>
          <w:color w:val="000000"/>
          <w:lang w:eastAsia="da-DK"/>
        </w:rPr>
      </w:pPr>
    </w:p>
    <w:p w14:paraId="768E64D8" w14:textId="77777777" w:rsidR="007B21F3" w:rsidRDefault="008C0033" w:rsidP="00B05136">
      <w:pPr>
        <w:rPr>
          <w:rFonts w:eastAsia="Times New Roman" w:cs="Times New Roman"/>
          <w:color w:val="000000"/>
          <w:lang w:eastAsia="da-DK"/>
        </w:rPr>
      </w:pPr>
      <w:r w:rsidRPr="00577043">
        <w:rPr>
          <w:rFonts w:eastAsia="Times New Roman" w:cs="Times New Roman"/>
          <w:color w:val="000000"/>
          <w:lang w:eastAsia="da-DK"/>
        </w:rPr>
        <w:t xml:space="preserve">Med </w:t>
      </w:r>
      <w:r w:rsidRPr="006D1DA3">
        <w:rPr>
          <w:rFonts w:eastAsia="Times New Roman" w:cs="Times New Roman"/>
          <w:i/>
          <w:color w:val="000000"/>
          <w:lang w:eastAsia="da-DK"/>
        </w:rPr>
        <w:t>§</w:t>
      </w:r>
      <w:r w:rsidR="00943333" w:rsidRPr="006D1DA3">
        <w:rPr>
          <w:rFonts w:eastAsia="Times New Roman" w:cs="Times New Roman"/>
          <w:i/>
          <w:color w:val="000000"/>
          <w:lang w:eastAsia="da-DK"/>
        </w:rPr>
        <w:t xml:space="preserve"> </w:t>
      </w:r>
      <w:r w:rsidR="00BC4C6C">
        <w:rPr>
          <w:rFonts w:eastAsia="Times New Roman" w:cs="Times New Roman"/>
          <w:i/>
          <w:color w:val="000000"/>
          <w:lang w:eastAsia="da-DK"/>
        </w:rPr>
        <w:t>3</w:t>
      </w:r>
      <w:r w:rsidR="0016270D">
        <w:rPr>
          <w:rFonts w:eastAsia="Times New Roman" w:cs="Times New Roman"/>
          <w:i/>
          <w:color w:val="000000"/>
          <w:lang w:eastAsia="da-DK"/>
        </w:rPr>
        <w:t>5</w:t>
      </w:r>
      <w:r w:rsidR="00943333" w:rsidRPr="006D1DA3">
        <w:rPr>
          <w:rFonts w:eastAsia="Times New Roman" w:cs="Times New Roman"/>
          <w:i/>
          <w:color w:val="000000"/>
          <w:lang w:eastAsia="da-DK"/>
        </w:rPr>
        <w:t>, stk. 1</w:t>
      </w:r>
      <w:r w:rsidR="0021775E" w:rsidRPr="006D1DA3">
        <w:rPr>
          <w:rFonts w:eastAsia="Times New Roman" w:cs="Times New Roman"/>
          <w:i/>
          <w:color w:val="000000"/>
          <w:lang w:eastAsia="da-DK"/>
        </w:rPr>
        <w:t>, nr. 1</w:t>
      </w:r>
      <w:r w:rsidR="0021775E" w:rsidRPr="00577043">
        <w:rPr>
          <w:rFonts w:eastAsia="Times New Roman" w:cs="Times New Roman"/>
          <w:color w:val="000000"/>
          <w:lang w:eastAsia="da-DK"/>
        </w:rPr>
        <w:t>,</w:t>
      </w:r>
      <w:r w:rsidR="00943333" w:rsidRPr="00577043">
        <w:rPr>
          <w:rFonts w:eastAsia="Times New Roman" w:cs="Times New Roman"/>
          <w:color w:val="000000"/>
          <w:lang w:eastAsia="da-DK"/>
        </w:rPr>
        <w:t xml:space="preserve"> foreslås det at gøre det strafbart at iværksætte et klinisk forsøg med lægemidler uden </w:t>
      </w:r>
      <w:r w:rsidR="003E25BC" w:rsidRPr="00577043">
        <w:rPr>
          <w:rFonts w:eastAsia="Times New Roman" w:cs="Times New Roman"/>
          <w:color w:val="000000"/>
          <w:lang w:eastAsia="da-DK"/>
        </w:rPr>
        <w:t>myndighedernes</w:t>
      </w:r>
      <w:r w:rsidR="00943333" w:rsidRPr="00577043">
        <w:rPr>
          <w:rFonts w:eastAsia="Times New Roman" w:cs="Times New Roman"/>
          <w:color w:val="000000"/>
          <w:lang w:eastAsia="da-DK"/>
        </w:rPr>
        <w:t xml:space="preserve"> godkendelse, jf. forordningens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sidRPr="00577043">
        <w:rPr>
          <w:rFonts w:eastAsia="Times New Roman" w:cs="Times New Roman"/>
          <w:color w:val="000000"/>
          <w:lang w:eastAsia="da-DK"/>
        </w:rPr>
        <w:t xml:space="preserve"> </w:t>
      </w:r>
      <w:r w:rsidR="00943333" w:rsidRPr="00577043">
        <w:rPr>
          <w:rFonts w:eastAsia="Times New Roman" w:cs="Times New Roman"/>
          <w:color w:val="000000"/>
          <w:lang w:eastAsia="da-DK"/>
        </w:rPr>
        <w:t>4 og 15.</w:t>
      </w:r>
      <w:r w:rsidR="006E7CDA">
        <w:rPr>
          <w:rFonts w:eastAsia="Times New Roman" w:cs="Times New Roman"/>
          <w:color w:val="000000"/>
          <w:lang w:eastAsia="da-DK"/>
        </w:rPr>
        <w:t xml:space="preserve"> </w:t>
      </w:r>
    </w:p>
    <w:p w14:paraId="4FBFB0DF" w14:textId="77777777" w:rsidR="00991438" w:rsidRPr="00577043" w:rsidRDefault="00991438" w:rsidP="00B05136">
      <w:pPr>
        <w:rPr>
          <w:rFonts w:eastAsia="Times New Roman" w:cs="Times New Roman"/>
          <w:b/>
          <w:color w:val="000000"/>
          <w:lang w:eastAsia="da-DK"/>
        </w:rPr>
      </w:pPr>
    </w:p>
    <w:p w14:paraId="07F14557" w14:textId="77777777" w:rsidR="00D61260" w:rsidRPr="00577043" w:rsidRDefault="00D61260" w:rsidP="00B05136">
      <w:pPr>
        <w:rPr>
          <w:rFonts w:eastAsia="Times New Roman" w:cs="Times New Roman"/>
          <w:color w:val="000000"/>
          <w:lang w:eastAsia="da-DK"/>
        </w:rPr>
      </w:pPr>
      <w:r w:rsidRPr="00577043">
        <w:rPr>
          <w:rFonts w:eastAsia="Times New Roman" w:cs="Times New Roman"/>
          <w:color w:val="000000"/>
          <w:lang w:eastAsia="da-DK"/>
        </w:rPr>
        <w:t xml:space="preserve">Det foreslås med </w:t>
      </w:r>
      <w:r w:rsidRPr="006D1DA3">
        <w:rPr>
          <w:rFonts w:eastAsia="Times New Roman" w:cs="Times New Roman"/>
          <w:i/>
          <w:color w:val="000000"/>
          <w:lang w:eastAsia="da-DK"/>
        </w:rPr>
        <w:t xml:space="preserve">§ </w:t>
      </w:r>
      <w:r w:rsidR="00BC4C6C">
        <w:rPr>
          <w:rFonts w:eastAsia="Times New Roman" w:cs="Times New Roman"/>
          <w:i/>
          <w:color w:val="000000"/>
          <w:lang w:eastAsia="da-DK"/>
        </w:rPr>
        <w:t>3</w:t>
      </w:r>
      <w:r w:rsidR="0016270D">
        <w:rPr>
          <w:rFonts w:eastAsia="Times New Roman" w:cs="Times New Roman"/>
          <w:i/>
          <w:color w:val="000000"/>
          <w:lang w:eastAsia="da-DK"/>
        </w:rPr>
        <w:t>5</w:t>
      </w:r>
      <w:r w:rsidRPr="006D1DA3">
        <w:rPr>
          <w:rFonts w:eastAsia="Times New Roman" w:cs="Times New Roman"/>
          <w:i/>
          <w:color w:val="000000"/>
          <w:lang w:eastAsia="da-DK"/>
        </w:rPr>
        <w:t>, stk. 1, nr. 2</w:t>
      </w:r>
      <w:r w:rsidRPr="00577043">
        <w:rPr>
          <w:rFonts w:eastAsia="Times New Roman" w:cs="Times New Roman"/>
          <w:color w:val="000000"/>
          <w:lang w:eastAsia="da-DK"/>
        </w:rPr>
        <w:t xml:space="preserve">, at det i overensstemmelse med forordningens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sidRPr="00577043">
        <w:rPr>
          <w:rFonts w:eastAsia="Times New Roman" w:cs="Times New Roman"/>
          <w:color w:val="000000"/>
          <w:lang w:eastAsia="da-DK"/>
        </w:rPr>
        <w:t xml:space="preserve"> </w:t>
      </w:r>
      <w:r w:rsidRPr="00577043">
        <w:rPr>
          <w:rFonts w:eastAsia="Times New Roman" w:cs="Times New Roman"/>
          <w:color w:val="000000"/>
          <w:lang w:eastAsia="da-DK"/>
        </w:rPr>
        <w:t>94</w:t>
      </w:r>
      <w:r w:rsidR="00720F90" w:rsidRPr="00577043">
        <w:rPr>
          <w:rFonts w:eastAsia="Times New Roman" w:cs="Times New Roman"/>
          <w:color w:val="000000"/>
          <w:lang w:eastAsia="da-DK"/>
        </w:rPr>
        <w:t>, stk. 2, litra a,</w:t>
      </w:r>
      <w:r w:rsidRPr="00577043">
        <w:rPr>
          <w:rFonts w:eastAsia="Times New Roman" w:cs="Times New Roman"/>
          <w:color w:val="000000"/>
          <w:lang w:eastAsia="da-DK"/>
        </w:rPr>
        <w:t xml:space="preserve"> gøres strafbart at undlade at efterkomme underretningspligten om indgivelse af oplysninger, som efter en række bestemmelser i forordningen skal gø</w:t>
      </w:r>
      <w:r w:rsidR="004559AA">
        <w:rPr>
          <w:rFonts w:eastAsia="Times New Roman" w:cs="Times New Roman"/>
          <w:color w:val="000000"/>
          <w:lang w:eastAsia="da-DK"/>
        </w:rPr>
        <w:t>res offentligt tilgængelige, til</w:t>
      </w:r>
      <w:r w:rsidRPr="00577043">
        <w:rPr>
          <w:rFonts w:eastAsia="Times New Roman" w:cs="Times New Roman"/>
          <w:color w:val="000000"/>
          <w:lang w:eastAsia="da-DK"/>
        </w:rPr>
        <w:t xml:space="preserve"> EU-databasen.</w:t>
      </w:r>
      <w:r w:rsidR="00A9796F">
        <w:rPr>
          <w:rFonts w:eastAsia="Times New Roman" w:cs="Times New Roman"/>
          <w:color w:val="000000"/>
          <w:lang w:eastAsia="da-DK"/>
        </w:rPr>
        <w:t xml:space="preserve"> Det vedrører meddelelse </w:t>
      </w:r>
      <w:r w:rsidR="00097086">
        <w:rPr>
          <w:rFonts w:eastAsia="Times New Roman" w:cs="Times New Roman"/>
          <w:color w:val="000000"/>
          <w:lang w:eastAsia="da-DK"/>
        </w:rPr>
        <w:t>om</w:t>
      </w:r>
      <w:r w:rsidR="00A9796F">
        <w:rPr>
          <w:rFonts w:eastAsia="Times New Roman" w:cs="Times New Roman"/>
          <w:color w:val="000000"/>
          <w:lang w:eastAsia="da-DK"/>
        </w:rPr>
        <w:t xml:space="preserve"> tilbagetrækning af forsøg, jf.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Pr>
          <w:rFonts w:eastAsia="Times New Roman" w:cs="Times New Roman"/>
          <w:color w:val="000000"/>
          <w:lang w:eastAsia="da-DK"/>
        </w:rPr>
        <w:t xml:space="preserve"> </w:t>
      </w:r>
      <w:r w:rsidR="00A9796F">
        <w:rPr>
          <w:rFonts w:eastAsia="Times New Roman" w:cs="Times New Roman"/>
          <w:color w:val="000000"/>
          <w:lang w:eastAsia="da-DK"/>
        </w:rPr>
        <w:t xml:space="preserve">12, underretning om påbegyndelse </w:t>
      </w:r>
      <w:r w:rsidR="0037519C">
        <w:rPr>
          <w:rFonts w:eastAsia="Times New Roman" w:cs="Times New Roman"/>
          <w:color w:val="000000"/>
          <w:lang w:eastAsia="da-DK"/>
        </w:rPr>
        <w:t>o</w:t>
      </w:r>
      <w:r w:rsidR="005764CD">
        <w:rPr>
          <w:rFonts w:eastAsia="Times New Roman" w:cs="Times New Roman"/>
          <w:color w:val="000000"/>
          <w:lang w:eastAsia="da-DK"/>
        </w:rPr>
        <w:t>g</w:t>
      </w:r>
      <w:r w:rsidR="00A9796F">
        <w:rPr>
          <w:rFonts w:eastAsia="Times New Roman" w:cs="Times New Roman"/>
          <w:color w:val="000000"/>
          <w:lang w:eastAsia="da-DK"/>
        </w:rPr>
        <w:t xml:space="preserve"> afslutningen rekrutteringen af forsøgspersoner, jf.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Pr>
          <w:rFonts w:eastAsia="Times New Roman" w:cs="Times New Roman"/>
          <w:color w:val="000000"/>
          <w:lang w:eastAsia="da-DK"/>
        </w:rPr>
        <w:t xml:space="preserve"> </w:t>
      </w:r>
      <w:r w:rsidR="00A9796F">
        <w:rPr>
          <w:rFonts w:eastAsia="Times New Roman" w:cs="Times New Roman"/>
          <w:color w:val="000000"/>
          <w:lang w:eastAsia="da-DK"/>
        </w:rPr>
        <w:t>36</w:t>
      </w:r>
      <w:r w:rsidR="00935A92">
        <w:rPr>
          <w:rFonts w:eastAsia="Times New Roman" w:cs="Times New Roman"/>
          <w:color w:val="000000"/>
          <w:lang w:eastAsia="da-DK"/>
        </w:rPr>
        <w:t xml:space="preserve">, </w:t>
      </w:r>
      <w:r w:rsidR="0037519C">
        <w:rPr>
          <w:rFonts w:eastAsia="Times New Roman" w:cs="Times New Roman"/>
          <w:color w:val="000000"/>
          <w:lang w:eastAsia="da-DK"/>
        </w:rPr>
        <w:t xml:space="preserve">påbegyndelse og afslutning af et forsøg, </w:t>
      </w:r>
      <w:r w:rsidR="009F3C1A">
        <w:rPr>
          <w:rFonts w:eastAsia="Times New Roman" w:cs="Times New Roman"/>
          <w:color w:val="000000"/>
          <w:lang w:eastAsia="da-DK"/>
        </w:rPr>
        <w:t xml:space="preserve">jf.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Pr>
          <w:rFonts w:eastAsia="Times New Roman" w:cs="Times New Roman"/>
          <w:color w:val="000000"/>
          <w:lang w:eastAsia="da-DK"/>
        </w:rPr>
        <w:t xml:space="preserve"> </w:t>
      </w:r>
      <w:r w:rsidR="009F3C1A">
        <w:rPr>
          <w:rFonts w:eastAsia="Times New Roman" w:cs="Times New Roman"/>
          <w:color w:val="000000"/>
          <w:lang w:eastAsia="da-DK"/>
        </w:rPr>
        <w:t xml:space="preserve">37, stk. 1-3 og stk. 5 og 6, </w:t>
      </w:r>
      <w:r w:rsidR="00935A92">
        <w:rPr>
          <w:rFonts w:eastAsia="Times New Roman" w:cs="Times New Roman"/>
          <w:color w:val="000000"/>
          <w:lang w:eastAsia="da-DK"/>
        </w:rPr>
        <w:t>underretning om midlertidig standsning eller afbrydelse af forsøg</w:t>
      </w:r>
      <w:r w:rsidR="009F3C1A">
        <w:rPr>
          <w:rFonts w:eastAsia="Times New Roman" w:cs="Times New Roman"/>
          <w:color w:val="000000"/>
          <w:lang w:eastAsia="da-DK"/>
        </w:rPr>
        <w:t xml:space="preserve">, jf.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Pr>
          <w:rFonts w:eastAsia="Times New Roman" w:cs="Times New Roman"/>
          <w:color w:val="000000"/>
          <w:lang w:eastAsia="da-DK"/>
        </w:rPr>
        <w:t xml:space="preserve"> </w:t>
      </w:r>
      <w:r w:rsidR="009F3C1A">
        <w:rPr>
          <w:rFonts w:eastAsia="Times New Roman" w:cs="Times New Roman"/>
          <w:color w:val="000000"/>
          <w:lang w:eastAsia="da-DK"/>
        </w:rPr>
        <w:t xml:space="preserve">38, stk. 1, indberetning af alvorlige hændelser, jf.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Pr>
          <w:rFonts w:eastAsia="Times New Roman" w:cs="Times New Roman"/>
          <w:color w:val="000000"/>
          <w:lang w:eastAsia="da-DK"/>
        </w:rPr>
        <w:t xml:space="preserve"> </w:t>
      </w:r>
      <w:r w:rsidR="009F3C1A">
        <w:rPr>
          <w:rFonts w:eastAsia="Times New Roman" w:cs="Times New Roman"/>
          <w:color w:val="000000"/>
          <w:lang w:eastAsia="da-DK"/>
        </w:rPr>
        <w:t xml:space="preserve">52, underretning om uventede hændelser, jf.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Pr>
          <w:rFonts w:eastAsia="Times New Roman" w:cs="Times New Roman"/>
          <w:color w:val="000000"/>
          <w:lang w:eastAsia="da-DK"/>
        </w:rPr>
        <w:t xml:space="preserve"> </w:t>
      </w:r>
      <w:r w:rsidR="009F3C1A">
        <w:rPr>
          <w:rFonts w:eastAsia="Times New Roman" w:cs="Times New Roman"/>
          <w:color w:val="000000"/>
          <w:lang w:eastAsia="da-DK"/>
        </w:rPr>
        <w:t xml:space="preserve">53, stk. 1, og forelæggelse af inspektionsrapport, jf.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Pr>
          <w:rFonts w:eastAsia="Times New Roman" w:cs="Times New Roman"/>
          <w:color w:val="000000"/>
          <w:lang w:eastAsia="da-DK"/>
        </w:rPr>
        <w:t xml:space="preserve"> </w:t>
      </w:r>
      <w:r w:rsidR="009F3C1A">
        <w:rPr>
          <w:rFonts w:eastAsia="Times New Roman" w:cs="Times New Roman"/>
          <w:color w:val="000000"/>
          <w:lang w:eastAsia="da-DK"/>
        </w:rPr>
        <w:t xml:space="preserve">53, stk. 2, og </w:t>
      </w:r>
      <w:r w:rsidR="00AB5E92">
        <w:rPr>
          <w:rFonts w:eastAsia="Times New Roman" w:cs="Times New Roman"/>
          <w:color w:val="000000"/>
          <w:lang w:eastAsia="da-DK"/>
        </w:rPr>
        <w:t xml:space="preserve">underretning om nødsikkerhedsforanstaltninger, jf.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AB5E92">
        <w:rPr>
          <w:rFonts w:eastAsia="Times New Roman" w:cs="Times New Roman"/>
          <w:color w:val="000000"/>
          <w:lang w:eastAsia="da-DK"/>
        </w:rPr>
        <w:t xml:space="preserve"> 54, stk. 2.</w:t>
      </w:r>
    </w:p>
    <w:p w14:paraId="4DFDC46A" w14:textId="77777777" w:rsidR="00D61260" w:rsidRPr="00577043" w:rsidRDefault="00D61260" w:rsidP="00B05136">
      <w:pPr>
        <w:rPr>
          <w:rFonts w:eastAsia="Times New Roman" w:cs="Times New Roman"/>
          <w:b/>
          <w:color w:val="000000"/>
          <w:lang w:eastAsia="da-DK"/>
        </w:rPr>
      </w:pPr>
    </w:p>
    <w:p w14:paraId="1B64FDFD" w14:textId="77777777" w:rsidR="00656696" w:rsidRDefault="00FE432C" w:rsidP="00B05136">
      <w:pPr>
        <w:rPr>
          <w:rFonts w:eastAsia="Times New Roman" w:cs="Times New Roman"/>
          <w:color w:val="000000"/>
          <w:lang w:eastAsia="da-DK"/>
        </w:rPr>
      </w:pPr>
      <w:r>
        <w:rPr>
          <w:rFonts w:eastAsia="Times New Roman" w:cs="Times New Roman"/>
          <w:color w:val="000000"/>
          <w:lang w:eastAsia="da-DK"/>
        </w:rPr>
        <w:t xml:space="preserve">Det foreslås med </w:t>
      </w:r>
      <w:r w:rsidR="009158E8" w:rsidRPr="006D1DA3">
        <w:rPr>
          <w:rFonts w:eastAsia="Times New Roman" w:cs="Times New Roman"/>
          <w:i/>
          <w:color w:val="000000"/>
          <w:lang w:eastAsia="da-DK"/>
        </w:rPr>
        <w:t xml:space="preserve">§ </w:t>
      </w:r>
      <w:r w:rsidR="00BC4C6C">
        <w:rPr>
          <w:rFonts w:eastAsia="Times New Roman" w:cs="Times New Roman"/>
          <w:i/>
          <w:color w:val="000000"/>
          <w:lang w:eastAsia="da-DK"/>
        </w:rPr>
        <w:t>3</w:t>
      </w:r>
      <w:r w:rsidR="0016270D">
        <w:rPr>
          <w:rFonts w:eastAsia="Times New Roman" w:cs="Times New Roman"/>
          <w:i/>
          <w:color w:val="000000"/>
          <w:lang w:eastAsia="da-DK"/>
        </w:rPr>
        <w:t>5</w:t>
      </w:r>
      <w:r w:rsidR="009158E8" w:rsidRPr="006D1DA3">
        <w:rPr>
          <w:rFonts w:eastAsia="Times New Roman" w:cs="Times New Roman"/>
          <w:i/>
          <w:color w:val="000000"/>
          <w:lang w:eastAsia="da-DK"/>
        </w:rPr>
        <w:t>, stk. 1, nr. 3</w:t>
      </w:r>
      <w:r w:rsidR="009158E8" w:rsidRPr="00577043">
        <w:rPr>
          <w:rFonts w:eastAsia="Times New Roman" w:cs="Times New Roman"/>
          <w:color w:val="000000"/>
          <w:lang w:eastAsia="da-DK"/>
        </w:rPr>
        <w:t xml:space="preserve">, </w:t>
      </w:r>
      <w:r>
        <w:rPr>
          <w:rFonts w:eastAsia="Times New Roman" w:cs="Times New Roman"/>
          <w:color w:val="000000"/>
          <w:lang w:eastAsia="da-DK"/>
        </w:rPr>
        <w:t>at gøre</w:t>
      </w:r>
      <w:r w:rsidR="00EE578E">
        <w:rPr>
          <w:rFonts w:eastAsia="Times New Roman" w:cs="Times New Roman"/>
          <w:color w:val="000000"/>
          <w:lang w:eastAsia="da-DK"/>
        </w:rPr>
        <w:t xml:space="preserve"> det</w:t>
      </w:r>
      <w:r>
        <w:rPr>
          <w:rFonts w:eastAsia="Times New Roman" w:cs="Times New Roman"/>
          <w:color w:val="000000"/>
          <w:lang w:eastAsia="da-DK"/>
        </w:rPr>
        <w:t xml:space="preserve"> strafbart, at undlade at efterkomme sikkerhedsindberetninger efter forordningens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Pr>
          <w:rFonts w:eastAsia="Times New Roman" w:cs="Times New Roman"/>
          <w:color w:val="000000"/>
          <w:lang w:eastAsia="da-DK"/>
        </w:rPr>
        <w:t xml:space="preserve"> </w:t>
      </w:r>
      <w:r>
        <w:rPr>
          <w:rFonts w:eastAsia="Times New Roman" w:cs="Times New Roman"/>
          <w:color w:val="000000"/>
          <w:lang w:eastAsia="da-DK"/>
        </w:rPr>
        <w:t xml:space="preserve">42, stk. 1 (bivirkninger),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Pr>
          <w:rFonts w:eastAsia="Times New Roman" w:cs="Times New Roman"/>
          <w:color w:val="000000"/>
          <w:lang w:eastAsia="da-DK"/>
        </w:rPr>
        <w:t xml:space="preserve"> </w:t>
      </w:r>
      <w:r>
        <w:rPr>
          <w:rFonts w:eastAsia="Times New Roman" w:cs="Times New Roman"/>
          <w:color w:val="000000"/>
          <w:lang w:eastAsia="da-DK"/>
        </w:rPr>
        <w:t>43, stk. 1 (</w:t>
      </w:r>
      <w:r w:rsidR="00BB1670">
        <w:rPr>
          <w:rFonts w:eastAsia="Times New Roman" w:cs="Times New Roman"/>
          <w:color w:val="000000"/>
          <w:lang w:eastAsia="da-DK"/>
        </w:rPr>
        <w:t xml:space="preserve">sikkerhedsrapport </w:t>
      </w:r>
      <w:r w:rsidR="00097086">
        <w:rPr>
          <w:rFonts w:eastAsia="Times New Roman" w:cs="Times New Roman"/>
          <w:color w:val="000000"/>
          <w:lang w:eastAsia="da-DK"/>
        </w:rPr>
        <w:t>om</w:t>
      </w:r>
      <w:r>
        <w:rPr>
          <w:rFonts w:eastAsia="Times New Roman" w:cs="Times New Roman"/>
          <w:color w:val="000000"/>
          <w:lang w:eastAsia="da-DK"/>
        </w:rPr>
        <w:t xml:space="preserve"> forsøgslægemidler) og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Pr>
          <w:rFonts w:eastAsia="Times New Roman" w:cs="Times New Roman"/>
          <w:color w:val="000000"/>
          <w:lang w:eastAsia="da-DK"/>
        </w:rPr>
        <w:t xml:space="preserve"> </w:t>
      </w:r>
      <w:r>
        <w:rPr>
          <w:rFonts w:eastAsia="Times New Roman" w:cs="Times New Roman"/>
          <w:color w:val="000000"/>
          <w:lang w:eastAsia="da-DK"/>
        </w:rPr>
        <w:t>46 (sikkerhedsindberetning mht. hjælpelægemidler)</w:t>
      </w:r>
      <w:r w:rsidR="009158E8" w:rsidRPr="00577043">
        <w:rPr>
          <w:rFonts w:eastAsia="Times New Roman" w:cs="Times New Roman"/>
          <w:color w:val="000000"/>
          <w:lang w:eastAsia="da-DK"/>
        </w:rPr>
        <w:t>.</w:t>
      </w:r>
    </w:p>
    <w:p w14:paraId="0C708078" w14:textId="77777777" w:rsidR="003B00E8" w:rsidRDefault="003B00E8" w:rsidP="00B05136">
      <w:pPr>
        <w:rPr>
          <w:rFonts w:eastAsia="Times New Roman" w:cs="Times New Roman"/>
          <w:color w:val="000000"/>
          <w:lang w:eastAsia="da-DK"/>
        </w:rPr>
      </w:pPr>
    </w:p>
    <w:p w14:paraId="52FD3FDA" w14:textId="77777777" w:rsidR="00FE432C" w:rsidRDefault="00656696" w:rsidP="00B05136">
      <w:pPr>
        <w:rPr>
          <w:rFonts w:eastAsia="Times New Roman" w:cs="Times New Roman"/>
          <w:color w:val="000000"/>
          <w:lang w:eastAsia="da-DK"/>
        </w:rPr>
      </w:pPr>
      <w:r>
        <w:rPr>
          <w:rFonts w:eastAsia="Times New Roman" w:cs="Times New Roman"/>
          <w:color w:val="000000"/>
          <w:lang w:eastAsia="da-DK"/>
        </w:rPr>
        <w:t xml:space="preserve">Endvidere foreslås det med </w:t>
      </w:r>
      <w:r w:rsidRPr="006D1DA3">
        <w:rPr>
          <w:rFonts w:eastAsia="Times New Roman" w:cs="Times New Roman"/>
          <w:i/>
          <w:color w:val="000000"/>
          <w:lang w:eastAsia="da-DK"/>
        </w:rPr>
        <w:t xml:space="preserve">§ </w:t>
      </w:r>
      <w:r w:rsidR="00BC4C6C">
        <w:rPr>
          <w:rFonts w:eastAsia="Times New Roman" w:cs="Times New Roman"/>
          <w:i/>
          <w:color w:val="000000"/>
          <w:lang w:eastAsia="da-DK"/>
        </w:rPr>
        <w:t>3</w:t>
      </w:r>
      <w:r w:rsidR="0016270D">
        <w:rPr>
          <w:rFonts w:eastAsia="Times New Roman" w:cs="Times New Roman"/>
          <w:i/>
          <w:color w:val="000000"/>
          <w:lang w:eastAsia="da-DK"/>
        </w:rPr>
        <w:t>5</w:t>
      </w:r>
      <w:r w:rsidRPr="006D1DA3">
        <w:rPr>
          <w:rFonts w:eastAsia="Times New Roman" w:cs="Times New Roman"/>
          <w:i/>
          <w:color w:val="000000"/>
          <w:lang w:eastAsia="da-DK"/>
        </w:rPr>
        <w:t>, stk. 1, nr. 4</w:t>
      </w:r>
      <w:r>
        <w:rPr>
          <w:rFonts w:eastAsia="Times New Roman" w:cs="Times New Roman"/>
          <w:color w:val="000000"/>
          <w:lang w:eastAsia="da-DK"/>
        </w:rPr>
        <w:t xml:space="preserve">, at gøre det strafbart, at undlade at gennemføre et forsøg i overensstemmelse med forsøgsprotokollen og god klinisk praksis, jf. forordningens </w:t>
      </w:r>
      <w:r w:rsidR="00E573CB" w:rsidRPr="00577043">
        <w:rPr>
          <w:rFonts w:eastAsia="Times New Roman" w:cs="Times New Roman"/>
          <w:bCs/>
          <w:color w:val="000000"/>
          <w:lang w:eastAsia="da-DK"/>
        </w:rPr>
        <w:t>art</w:t>
      </w:r>
      <w:r w:rsidR="00E573CB">
        <w:rPr>
          <w:rFonts w:eastAsia="Times New Roman" w:cs="Times New Roman"/>
          <w:bCs/>
          <w:color w:val="000000"/>
          <w:lang w:eastAsia="da-DK"/>
        </w:rPr>
        <w:t>ikel</w:t>
      </w:r>
      <w:r w:rsidR="00E573CB">
        <w:rPr>
          <w:rFonts w:eastAsia="Times New Roman" w:cs="Times New Roman"/>
          <w:color w:val="000000"/>
          <w:lang w:eastAsia="da-DK"/>
        </w:rPr>
        <w:t xml:space="preserve"> </w:t>
      </w:r>
      <w:r>
        <w:rPr>
          <w:rFonts w:eastAsia="Times New Roman" w:cs="Times New Roman"/>
          <w:color w:val="000000"/>
          <w:lang w:eastAsia="da-DK"/>
        </w:rPr>
        <w:t>47, eller artikel 48 om monitorering.</w:t>
      </w:r>
      <w:r w:rsidR="009158E8" w:rsidRPr="00577043">
        <w:rPr>
          <w:rFonts w:eastAsia="Times New Roman" w:cs="Times New Roman"/>
          <w:color w:val="000000"/>
          <w:lang w:eastAsia="da-DK"/>
        </w:rPr>
        <w:t xml:space="preserve"> </w:t>
      </w:r>
    </w:p>
    <w:p w14:paraId="58877A3E" w14:textId="77777777" w:rsidR="009028E5" w:rsidRDefault="009028E5" w:rsidP="00B05136">
      <w:pPr>
        <w:rPr>
          <w:rFonts w:eastAsia="Times New Roman" w:cs="Times New Roman"/>
          <w:color w:val="000000"/>
          <w:lang w:eastAsia="da-DK"/>
        </w:rPr>
      </w:pPr>
    </w:p>
    <w:p w14:paraId="60697383" w14:textId="77777777" w:rsidR="009028E5" w:rsidRDefault="009028E5" w:rsidP="00B05136">
      <w:pPr>
        <w:rPr>
          <w:rFonts w:eastAsia="Times New Roman" w:cs="Times New Roman"/>
          <w:color w:val="000000"/>
          <w:lang w:eastAsia="da-DK"/>
        </w:rPr>
      </w:pPr>
      <w:r>
        <w:rPr>
          <w:rFonts w:eastAsia="Times New Roman" w:cs="Times New Roman"/>
          <w:color w:val="000000"/>
          <w:lang w:eastAsia="da-DK"/>
        </w:rPr>
        <w:t xml:space="preserve">Det foreslås med </w:t>
      </w:r>
      <w:r w:rsidRPr="006D1DA3">
        <w:rPr>
          <w:rFonts w:eastAsia="Times New Roman" w:cs="Times New Roman"/>
          <w:i/>
          <w:color w:val="000000"/>
          <w:lang w:eastAsia="da-DK"/>
        </w:rPr>
        <w:t xml:space="preserve">§ </w:t>
      </w:r>
      <w:r w:rsidR="00BC4C6C">
        <w:rPr>
          <w:rFonts w:eastAsia="Times New Roman" w:cs="Times New Roman"/>
          <w:i/>
          <w:color w:val="000000"/>
          <w:lang w:eastAsia="da-DK"/>
        </w:rPr>
        <w:t>3</w:t>
      </w:r>
      <w:r w:rsidR="0016270D">
        <w:rPr>
          <w:rFonts w:eastAsia="Times New Roman" w:cs="Times New Roman"/>
          <w:i/>
          <w:color w:val="000000"/>
          <w:lang w:eastAsia="da-DK"/>
        </w:rPr>
        <w:t>5</w:t>
      </w:r>
      <w:r w:rsidRPr="006D1DA3">
        <w:rPr>
          <w:rFonts w:eastAsia="Times New Roman" w:cs="Times New Roman"/>
          <w:i/>
          <w:color w:val="000000"/>
          <w:lang w:eastAsia="da-DK"/>
        </w:rPr>
        <w:t>, stk. 1, nr. 5</w:t>
      </w:r>
      <w:r>
        <w:rPr>
          <w:rFonts w:eastAsia="Times New Roman" w:cs="Times New Roman"/>
          <w:color w:val="000000"/>
          <w:lang w:eastAsia="da-DK"/>
        </w:rPr>
        <w:t>, at gøre det strafbart at</w:t>
      </w:r>
      <w:r w:rsidR="00D308F1">
        <w:rPr>
          <w:rFonts w:eastAsia="Times New Roman" w:cs="Times New Roman"/>
          <w:color w:val="000000"/>
          <w:lang w:eastAsia="da-DK"/>
        </w:rPr>
        <w:t xml:space="preserve"> undlade at efterkomme et påbud fra en berørt medlemsstat, som tilbagekalder godkendelsen af et klinisk forsøg, suspenderer et klinisk forsøg, eller kræver, at sponsor ændret et aspekt af det kliniske forsøg.</w:t>
      </w:r>
      <w:r>
        <w:rPr>
          <w:rFonts w:eastAsia="Times New Roman" w:cs="Times New Roman"/>
          <w:color w:val="000000"/>
          <w:lang w:eastAsia="da-DK"/>
        </w:rPr>
        <w:t xml:space="preserve"> </w:t>
      </w:r>
    </w:p>
    <w:p w14:paraId="4881645F" w14:textId="77777777" w:rsidR="00000644" w:rsidRDefault="00000644" w:rsidP="00B05136">
      <w:pPr>
        <w:rPr>
          <w:rFonts w:eastAsia="Times New Roman" w:cs="Times New Roman"/>
          <w:color w:val="000000"/>
          <w:lang w:eastAsia="da-DK"/>
        </w:rPr>
      </w:pPr>
    </w:p>
    <w:p w14:paraId="26F46D0D" w14:textId="77777777" w:rsidR="003619AA" w:rsidRDefault="00E815BE" w:rsidP="00B05136">
      <w:pPr>
        <w:rPr>
          <w:rFonts w:eastAsia="Times New Roman" w:cs="Times New Roman"/>
          <w:color w:val="000000"/>
          <w:lang w:eastAsia="da-DK"/>
        </w:rPr>
      </w:pPr>
      <w:r>
        <w:rPr>
          <w:rFonts w:eastAsia="Times New Roman" w:cs="Times New Roman"/>
          <w:color w:val="000000"/>
          <w:lang w:eastAsia="da-DK"/>
        </w:rPr>
        <w:t>Det f</w:t>
      </w:r>
      <w:r w:rsidR="003619AA">
        <w:rPr>
          <w:rFonts w:eastAsia="Times New Roman" w:cs="Times New Roman"/>
          <w:color w:val="000000"/>
          <w:lang w:eastAsia="da-DK"/>
        </w:rPr>
        <w:t xml:space="preserve">oreslås med </w:t>
      </w:r>
      <w:r w:rsidR="003619AA" w:rsidRPr="006D1DA3">
        <w:rPr>
          <w:rFonts w:eastAsia="Times New Roman" w:cs="Times New Roman"/>
          <w:i/>
          <w:color w:val="000000"/>
          <w:lang w:eastAsia="da-DK"/>
        </w:rPr>
        <w:t xml:space="preserve">§ </w:t>
      </w:r>
      <w:r w:rsidR="00BC4C6C">
        <w:rPr>
          <w:rFonts w:eastAsia="Times New Roman" w:cs="Times New Roman"/>
          <w:i/>
          <w:color w:val="000000"/>
          <w:lang w:eastAsia="da-DK"/>
        </w:rPr>
        <w:t>3</w:t>
      </w:r>
      <w:r w:rsidR="0016270D">
        <w:rPr>
          <w:rFonts w:eastAsia="Times New Roman" w:cs="Times New Roman"/>
          <w:i/>
          <w:color w:val="000000"/>
          <w:lang w:eastAsia="da-DK"/>
        </w:rPr>
        <w:t>5</w:t>
      </w:r>
      <w:r w:rsidR="003619AA" w:rsidRPr="006D1DA3">
        <w:rPr>
          <w:rFonts w:eastAsia="Times New Roman" w:cs="Times New Roman"/>
          <w:i/>
          <w:color w:val="000000"/>
          <w:lang w:eastAsia="da-DK"/>
        </w:rPr>
        <w:t>, stk. 1, nr. 6</w:t>
      </w:r>
      <w:r w:rsidR="003619AA">
        <w:rPr>
          <w:rFonts w:eastAsia="Times New Roman" w:cs="Times New Roman"/>
          <w:color w:val="000000"/>
          <w:lang w:eastAsia="da-DK"/>
        </w:rPr>
        <w:t xml:space="preserve">, at gøre det strafbart at undlade at efterkommet et påbud i medfør af artikel 77, stk.1. Ifølge </w:t>
      </w:r>
      <w:r w:rsidR="00BD4D97" w:rsidRPr="00577043">
        <w:rPr>
          <w:rFonts w:eastAsia="Times New Roman" w:cs="Times New Roman"/>
          <w:bCs/>
          <w:color w:val="000000"/>
          <w:lang w:eastAsia="da-DK"/>
        </w:rPr>
        <w:t>art</w:t>
      </w:r>
      <w:r w:rsidR="00BD4D97">
        <w:rPr>
          <w:rFonts w:eastAsia="Times New Roman" w:cs="Times New Roman"/>
          <w:bCs/>
          <w:color w:val="000000"/>
          <w:lang w:eastAsia="da-DK"/>
        </w:rPr>
        <w:t>ikel</w:t>
      </w:r>
      <w:r w:rsidR="00BD4D97">
        <w:rPr>
          <w:rFonts w:eastAsia="Times New Roman" w:cs="Times New Roman"/>
          <w:color w:val="000000"/>
          <w:lang w:eastAsia="da-DK"/>
        </w:rPr>
        <w:t xml:space="preserve"> </w:t>
      </w:r>
      <w:r w:rsidR="003619AA">
        <w:rPr>
          <w:rFonts w:eastAsia="Times New Roman" w:cs="Times New Roman"/>
          <w:color w:val="000000"/>
          <w:lang w:eastAsia="da-DK"/>
        </w:rPr>
        <w:t>77, stk. 1, kan en berørt, som har berettigede grunde til at mene, at kravene i forordningen ikke længere er opfyldt, enten tilbagekalde godkendelsen af et klinisk forsøg, suspendere et klinisk forsøg, eller</w:t>
      </w:r>
      <w:r w:rsidR="0021045F">
        <w:rPr>
          <w:rFonts w:eastAsia="Times New Roman" w:cs="Times New Roman"/>
          <w:color w:val="000000"/>
          <w:lang w:eastAsia="da-DK"/>
        </w:rPr>
        <w:t xml:space="preserve"> kræve</w:t>
      </w:r>
      <w:r w:rsidR="003619AA">
        <w:rPr>
          <w:rFonts w:eastAsia="Times New Roman" w:cs="Times New Roman"/>
          <w:color w:val="000000"/>
          <w:lang w:eastAsia="da-DK"/>
        </w:rPr>
        <w:t xml:space="preserve"> at sponsor ændrer et hvilket som helst aspekt af det kliniske forsøg.</w:t>
      </w:r>
    </w:p>
    <w:p w14:paraId="0A084BB7" w14:textId="77777777" w:rsidR="00E815BE" w:rsidRDefault="00E815BE" w:rsidP="00B05136">
      <w:pPr>
        <w:rPr>
          <w:rFonts w:eastAsia="Times New Roman" w:cs="Times New Roman"/>
          <w:color w:val="000000"/>
          <w:lang w:eastAsia="da-DK"/>
        </w:rPr>
      </w:pPr>
    </w:p>
    <w:p w14:paraId="7B4D6399" w14:textId="77777777" w:rsidR="00E815BE" w:rsidRDefault="00E815BE" w:rsidP="00B05136">
      <w:pPr>
        <w:rPr>
          <w:rFonts w:eastAsia="Times New Roman" w:cs="Times New Roman"/>
          <w:color w:val="000000"/>
          <w:lang w:eastAsia="da-DK"/>
        </w:rPr>
      </w:pPr>
      <w:r>
        <w:rPr>
          <w:rFonts w:eastAsia="Times New Roman" w:cs="Times New Roman"/>
          <w:color w:val="000000"/>
          <w:lang w:eastAsia="da-DK"/>
        </w:rPr>
        <w:t xml:space="preserve">Med </w:t>
      </w:r>
      <w:r w:rsidRPr="006D1DA3">
        <w:rPr>
          <w:rFonts w:eastAsia="Times New Roman" w:cs="Times New Roman"/>
          <w:i/>
          <w:color w:val="000000"/>
          <w:lang w:eastAsia="da-DK"/>
        </w:rPr>
        <w:t xml:space="preserve">§ </w:t>
      </w:r>
      <w:r w:rsidR="00BC4C6C">
        <w:rPr>
          <w:rFonts w:eastAsia="Times New Roman" w:cs="Times New Roman"/>
          <w:i/>
          <w:color w:val="000000"/>
          <w:lang w:eastAsia="da-DK"/>
        </w:rPr>
        <w:t>3</w:t>
      </w:r>
      <w:r w:rsidR="0016270D">
        <w:rPr>
          <w:rFonts w:eastAsia="Times New Roman" w:cs="Times New Roman"/>
          <w:i/>
          <w:color w:val="000000"/>
          <w:lang w:eastAsia="da-DK"/>
        </w:rPr>
        <w:t>5</w:t>
      </w:r>
      <w:r w:rsidRPr="006D1DA3">
        <w:rPr>
          <w:rFonts w:eastAsia="Times New Roman" w:cs="Times New Roman"/>
          <w:i/>
          <w:color w:val="000000"/>
          <w:lang w:eastAsia="da-DK"/>
        </w:rPr>
        <w:t xml:space="preserve">, stk. 1, nr. </w:t>
      </w:r>
      <w:r w:rsidR="0021045F" w:rsidRPr="006D1DA3">
        <w:rPr>
          <w:rFonts w:eastAsia="Times New Roman" w:cs="Times New Roman"/>
          <w:i/>
          <w:color w:val="000000"/>
          <w:lang w:eastAsia="da-DK"/>
        </w:rPr>
        <w:t>7</w:t>
      </w:r>
      <w:r w:rsidR="0021045F">
        <w:rPr>
          <w:rFonts w:eastAsia="Times New Roman" w:cs="Times New Roman"/>
          <w:color w:val="000000"/>
          <w:lang w:eastAsia="da-DK"/>
        </w:rPr>
        <w:t>, foreslås det at gøre det strafbart at undlade at efterkomme oplysningspligten i medfør af denne lovs § 13</w:t>
      </w:r>
      <w:r w:rsidR="000A0B09">
        <w:rPr>
          <w:rFonts w:eastAsia="Times New Roman" w:cs="Times New Roman"/>
          <w:color w:val="000000"/>
          <w:lang w:eastAsia="da-DK"/>
        </w:rPr>
        <w:t xml:space="preserve">, stk. </w:t>
      </w:r>
      <w:r w:rsidR="00DF4B09">
        <w:rPr>
          <w:rFonts w:eastAsia="Times New Roman" w:cs="Times New Roman"/>
          <w:color w:val="000000"/>
          <w:lang w:eastAsia="da-DK"/>
        </w:rPr>
        <w:t>1</w:t>
      </w:r>
      <w:r w:rsidR="000A0B09">
        <w:rPr>
          <w:rFonts w:eastAsia="Times New Roman" w:cs="Times New Roman"/>
          <w:color w:val="000000"/>
          <w:lang w:eastAsia="da-DK"/>
        </w:rPr>
        <w:t xml:space="preserve"> </w:t>
      </w:r>
      <w:r w:rsidR="00AE622A">
        <w:rPr>
          <w:rFonts w:eastAsia="Times New Roman" w:cs="Times New Roman"/>
          <w:color w:val="000000"/>
          <w:lang w:eastAsia="da-DK"/>
        </w:rPr>
        <w:t xml:space="preserve">og </w:t>
      </w:r>
      <w:r w:rsidR="00DF4B09">
        <w:rPr>
          <w:rFonts w:eastAsia="Times New Roman" w:cs="Times New Roman"/>
          <w:color w:val="000000"/>
          <w:lang w:eastAsia="da-DK"/>
        </w:rPr>
        <w:t>2</w:t>
      </w:r>
      <w:r w:rsidR="00AE622A">
        <w:rPr>
          <w:rFonts w:eastAsia="Times New Roman" w:cs="Times New Roman"/>
          <w:color w:val="000000"/>
          <w:lang w:eastAsia="da-DK"/>
        </w:rPr>
        <w:t xml:space="preserve"> </w:t>
      </w:r>
      <w:r w:rsidR="003B00E8">
        <w:rPr>
          <w:rFonts w:eastAsia="Times New Roman" w:cs="Times New Roman"/>
          <w:color w:val="000000"/>
          <w:lang w:eastAsia="da-DK"/>
        </w:rPr>
        <w:t>og § 14, stk. 2</w:t>
      </w:r>
      <w:r w:rsidR="00AE622A">
        <w:rPr>
          <w:rFonts w:eastAsia="Times New Roman" w:cs="Times New Roman"/>
          <w:color w:val="000000"/>
          <w:lang w:eastAsia="da-DK"/>
        </w:rPr>
        <w:t xml:space="preserve">, hvorefter </w:t>
      </w:r>
      <w:r w:rsidR="0058651B">
        <w:rPr>
          <w:rFonts w:eastAsia="Times New Roman" w:cs="Times New Roman"/>
          <w:color w:val="000000"/>
          <w:lang w:eastAsia="da-DK"/>
        </w:rPr>
        <w:t>Lægemiddelstyrelsen</w:t>
      </w:r>
      <w:r w:rsidR="00AE622A">
        <w:rPr>
          <w:rFonts w:eastAsia="Times New Roman" w:cs="Times New Roman"/>
          <w:color w:val="000000"/>
          <w:lang w:eastAsia="da-DK"/>
        </w:rPr>
        <w:t xml:space="preserve"> har adgang til oplysninger til brug for kontrol af et klinisk forsøg.</w:t>
      </w:r>
    </w:p>
    <w:p w14:paraId="62F2E6A8" w14:textId="77777777" w:rsidR="00E815BE" w:rsidRDefault="00E815BE" w:rsidP="00B05136">
      <w:pPr>
        <w:rPr>
          <w:rFonts w:eastAsia="Times New Roman" w:cs="Times New Roman"/>
          <w:color w:val="000000"/>
          <w:lang w:eastAsia="da-DK"/>
        </w:rPr>
      </w:pPr>
    </w:p>
    <w:p w14:paraId="1B87A176" w14:textId="77777777" w:rsidR="008B6741" w:rsidRDefault="00520394" w:rsidP="00B05136">
      <w:r>
        <w:rPr>
          <w:rFonts w:eastAsia="Times New Roman" w:cs="Times New Roman"/>
          <w:color w:val="000000"/>
          <w:lang w:eastAsia="da-DK"/>
        </w:rPr>
        <w:t xml:space="preserve">Som nævnt foreslås det </w:t>
      </w:r>
      <w:r w:rsidR="004E026E" w:rsidRPr="00577043">
        <w:rPr>
          <w:rFonts w:eastAsia="Times New Roman" w:cs="Times New Roman"/>
          <w:color w:val="000000"/>
          <w:lang w:eastAsia="da-DK"/>
        </w:rPr>
        <w:t>med §</w:t>
      </w:r>
      <w:r w:rsidR="00BC4C6C">
        <w:rPr>
          <w:rFonts w:eastAsia="Times New Roman" w:cs="Times New Roman"/>
          <w:color w:val="000000"/>
          <w:lang w:eastAsia="da-DK"/>
        </w:rPr>
        <w:t>§</w:t>
      </w:r>
      <w:r w:rsidR="004E026E" w:rsidRPr="00577043">
        <w:rPr>
          <w:rFonts w:eastAsia="Times New Roman" w:cs="Times New Roman"/>
          <w:color w:val="000000"/>
          <w:lang w:eastAsia="da-DK"/>
        </w:rPr>
        <w:t xml:space="preserve"> </w:t>
      </w:r>
      <w:r w:rsidR="00BC4C6C">
        <w:rPr>
          <w:rFonts w:eastAsia="Times New Roman" w:cs="Times New Roman"/>
          <w:color w:val="000000"/>
          <w:lang w:eastAsia="da-DK"/>
        </w:rPr>
        <w:t>15-17</w:t>
      </w:r>
      <w:r w:rsidR="004E026E" w:rsidRPr="00577043">
        <w:rPr>
          <w:rFonts w:eastAsia="Times New Roman" w:cs="Times New Roman"/>
          <w:color w:val="000000"/>
          <w:lang w:eastAsia="da-DK"/>
        </w:rPr>
        <w:t xml:space="preserve">, at </w:t>
      </w:r>
      <w:r w:rsidR="0058651B">
        <w:rPr>
          <w:rFonts w:eastAsia="Times New Roman" w:cs="Times New Roman"/>
          <w:color w:val="000000"/>
          <w:lang w:eastAsia="da-DK"/>
        </w:rPr>
        <w:t>Lægemiddelstyrelsen</w:t>
      </w:r>
      <w:r w:rsidR="004E026E" w:rsidRPr="00577043">
        <w:rPr>
          <w:rFonts w:eastAsia="Times New Roman" w:cs="Times New Roman"/>
          <w:color w:val="000000"/>
          <w:lang w:eastAsia="da-DK"/>
        </w:rPr>
        <w:t xml:space="preserve"> før</w:t>
      </w:r>
      <w:r w:rsidR="004E026E" w:rsidRPr="00577043">
        <w:t xml:space="preserve">er </w:t>
      </w:r>
      <w:r w:rsidR="00AD484F">
        <w:t>kontrol</w:t>
      </w:r>
      <w:r w:rsidR="004E026E" w:rsidRPr="00577043">
        <w:t xml:space="preserve"> med, om forsøg gennemføres i overensstemmelse med tilladelsen, og at den videnskabsetiske lægemiddelkomité inddrages</w:t>
      </w:r>
      <w:r w:rsidR="004E026E" w:rsidRPr="00577043">
        <w:rPr>
          <w:rFonts w:eastAsia="Times New Roman" w:cs="Times New Roman"/>
          <w:color w:val="000000"/>
          <w:lang w:eastAsia="da-DK"/>
        </w:rPr>
        <w:t xml:space="preserve">, når </w:t>
      </w:r>
      <w:r w:rsidR="0058651B">
        <w:rPr>
          <w:rFonts w:eastAsia="Times New Roman" w:cs="Times New Roman"/>
          <w:color w:val="000000"/>
          <w:lang w:eastAsia="da-DK"/>
        </w:rPr>
        <w:t>Lægemiddelstyrelsen</w:t>
      </w:r>
      <w:r w:rsidR="004E026E" w:rsidRPr="00577043">
        <w:rPr>
          <w:rFonts w:eastAsia="Times New Roman" w:cs="Times New Roman"/>
          <w:color w:val="000000"/>
          <w:lang w:eastAsia="da-DK"/>
        </w:rPr>
        <w:t xml:space="preserve"> og komiteen vurderer, at der er behov for vurdering af videnskabsetiske aspekter</w:t>
      </w:r>
      <w:r w:rsidR="004E026E" w:rsidRPr="00577043">
        <w:t xml:space="preserve">. </w:t>
      </w:r>
      <w:r w:rsidR="008570AA">
        <w:t>D</w:t>
      </w:r>
      <w:r w:rsidR="004E026E" w:rsidRPr="00577043">
        <w:t>en videnskabsetisk</w:t>
      </w:r>
      <w:r w:rsidR="008570AA">
        <w:t>e lægemiddel</w:t>
      </w:r>
      <w:r w:rsidR="004E026E" w:rsidRPr="00577043">
        <w:t xml:space="preserve">komite </w:t>
      </w:r>
      <w:r w:rsidR="008570AA">
        <w:t xml:space="preserve">vil </w:t>
      </w:r>
      <w:r>
        <w:t>også</w:t>
      </w:r>
      <w:r w:rsidR="008570AA">
        <w:t xml:space="preserve"> blive </w:t>
      </w:r>
      <w:r w:rsidR="004E026E" w:rsidRPr="00577043">
        <w:t>inddrage</w:t>
      </w:r>
      <w:r w:rsidR="008570AA">
        <w:t xml:space="preserve">t ved evt. </w:t>
      </w:r>
      <w:r w:rsidR="004E026E" w:rsidRPr="00577043">
        <w:t xml:space="preserve">iværksættelse af sanktion for overtrædelse.   </w:t>
      </w:r>
    </w:p>
    <w:p w14:paraId="3D49EAF5" w14:textId="77777777" w:rsidR="008B6741" w:rsidRDefault="008B6741" w:rsidP="00B05136"/>
    <w:p w14:paraId="57C79098" w14:textId="77777777" w:rsidR="003B00E8" w:rsidRDefault="003B00E8" w:rsidP="0021775E">
      <w:pPr>
        <w:rPr>
          <w:rFonts w:eastAsia="Times New Roman" w:cs="Times New Roman"/>
          <w:color w:val="000000"/>
          <w:lang w:eastAsia="da-DK"/>
        </w:rPr>
      </w:pPr>
      <w:r>
        <w:rPr>
          <w:rFonts w:eastAsia="Times New Roman" w:cs="Times New Roman"/>
          <w:color w:val="000000"/>
          <w:lang w:eastAsia="da-DK"/>
        </w:rPr>
        <w:t xml:space="preserve">Det foreslås med </w:t>
      </w:r>
      <w:r w:rsidRPr="006D1DA3">
        <w:rPr>
          <w:rFonts w:eastAsia="Times New Roman" w:cs="Times New Roman"/>
          <w:i/>
          <w:color w:val="000000"/>
          <w:lang w:eastAsia="da-DK"/>
        </w:rPr>
        <w:t xml:space="preserve">§ </w:t>
      </w:r>
      <w:r w:rsidR="0016270D">
        <w:rPr>
          <w:rFonts w:eastAsia="Times New Roman" w:cs="Times New Roman"/>
          <w:i/>
          <w:color w:val="000000"/>
          <w:lang w:eastAsia="da-DK"/>
        </w:rPr>
        <w:t>35</w:t>
      </w:r>
      <w:r w:rsidRPr="006D1DA3">
        <w:rPr>
          <w:rFonts w:eastAsia="Times New Roman" w:cs="Times New Roman"/>
          <w:i/>
          <w:color w:val="000000"/>
          <w:lang w:eastAsia="da-DK"/>
        </w:rPr>
        <w:t>, stk. 8</w:t>
      </w:r>
      <w:r w:rsidR="00480AD6">
        <w:rPr>
          <w:rFonts w:eastAsia="Times New Roman" w:cs="Times New Roman"/>
          <w:color w:val="000000"/>
          <w:lang w:eastAsia="da-DK"/>
        </w:rPr>
        <w:t xml:space="preserve">, at </w:t>
      </w:r>
      <w:r>
        <w:rPr>
          <w:rFonts w:eastAsia="Times New Roman" w:cs="Times New Roman"/>
          <w:color w:val="000000"/>
          <w:lang w:eastAsia="da-DK"/>
        </w:rPr>
        <w:t xml:space="preserve">gøre det strafbart, at nægte </w:t>
      </w:r>
      <w:r w:rsidR="0058651B">
        <w:rPr>
          <w:rFonts w:eastAsia="Times New Roman" w:cs="Times New Roman"/>
          <w:color w:val="000000"/>
          <w:lang w:eastAsia="da-DK"/>
        </w:rPr>
        <w:t>Lægemiddelstyrelsen</w:t>
      </w:r>
      <w:r>
        <w:rPr>
          <w:rFonts w:eastAsia="Times New Roman" w:cs="Times New Roman"/>
          <w:color w:val="000000"/>
          <w:lang w:eastAsia="da-DK"/>
        </w:rPr>
        <w:t xml:space="preserve"> eller den videnskabsetiske lægemiddelkomité adgang til virksomheder, sygehus, klinikker og andre steder, der er berørt af et forsøgs gennemførelse, jf. § 14, stk. 1.</w:t>
      </w:r>
    </w:p>
    <w:p w14:paraId="1E02FE06" w14:textId="77777777" w:rsidR="00BC54C0" w:rsidRDefault="00BC54C0" w:rsidP="0021775E">
      <w:pPr>
        <w:rPr>
          <w:rFonts w:eastAsia="Times New Roman" w:cs="Times New Roman"/>
          <w:color w:val="000000"/>
          <w:lang w:eastAsia="da-DK"/>
        </w:rPr>
      </w:pPr>
    </w:p>
    <w:p w14:paraId="73D7E7BF" w14:textId="77777777" w:rsidR="0021775E" w:rsidRPr="00577043" w:rsidRDefault="00B05136" w:rsidP="0021775E">
      <w:pPr>
        <w:rPr>
          <w:rFonts w:eastAsia="Times New Roman" w:cs="Times New Roman"/>
          <w:color w:val="000000"/>
          <w:lang w:eastAsia="da-DK"/>
        </w:rPr>
      </w:pPr>
      <w:r w:rsidRPr="00577043">
        <w:rPr>
          <w:rFonts w:eastAsia="Times New Roman" w:cs="Times New Roman"/>
          <w:color w:val="000000"/>
          <w:lang w:eastAsia="da-DK"/>
        </w:rPr>
        <w:t xml:space="preserve">Herudover foreslås det som noget nyt </w:t>
      </w:r>
      <w:r w:rsidR="00B21572" w:rsidRPr="00577043">
        <w:rPr>
          <w:rFonts w:eastAsia="Times New Roman" w:cs="Times New Roman"/>
          <w:color w:val="000000"/>
          <w:lang w:eastAsia="da-DK"/>
        </w:rPr>
        <w:t xml:space="preserve">med </w:t>
      </w:r>
      <w:r w:rsidR="00B21572" w:rsidRPr="006D1DA3">
        <w:rPr>
          <w:rFonts w:eastAsia="Times New Roman" w:cs="Times New Roman"/>
          <w:i/>
          <w:color w:val="000000"/>
          <w:lang w:eastAsia="da-DK"/>
        </w:rPr>
        <w:t xml:space="preserve">§ </w:t>
      </w:r>
      <w:r w:rsidR="0016270D">
        <w:rPr>
          <w:rFonts w:eastAsia="Times New Roman" w:cs="Times New Roman"/>
          <w:i/>
          <w:color w:val="000000"/>
          <w:lang w:eastAsia="da-DK"/>
        </w:rPr>
        <w:t>35</w:t>
      </w:r>
      <w:r w:rsidR="00B21572" w:rsidRPr="006D1DA3">
        <w:rPr>
          <w:rFonts w:eastAsia="Times New Roman" w:cs="Times New Roman"/>
          <w:i/>
          <w:color w:val="000000"/>
          <w:lang w:eastAsia="da-DK"/>
        </w:rPr>
        <w:t xml:space="preserve">, stk. 1, nr. </w:t>
      </w:r>
      <w:r w:rsidR="008C30A8" w:rsidRPr="006D1DA3">
        <w:rPr>
          <w:rFonts w:eastAsia="Times New Roman" w:cs="Times New Roman"/>
          <w:i/>
          <w:color w:val="000000"/>
          <w:lang w:eastAsia="da-DK"/>
        </w:rPr>
        <w:t>9</w:t>
      </w:r>
      <w:r w:rsidR="00B21572" w:rsidRPr="00577043">
        <w:rPr>
          <w:rFonts w:eastAsia="Times New Roman" w:cs="Times New Roman"/>
          <w:color w:val="000000"/>
          <w:lang w:eastAsia="da-DK"/>
        </w:rPr>
        <w:t xml:space="preserve">, i forlængelse af den foreslåede § </w:t>
      </w:r>
      <w:r w:rsidR="00BC4C6C">
        <w:rPr>
          <w:rFonts w:eastAsia="Times New Roman" w:cs="Times New Roman"/>
          <w:color w:val="000000"/>
          <w:lang w:eastAsia="da-DK"/>
        </w:rPr>
        <w:t>3</w:t>
      </w:r>
      <w:r w:rsidR="0016270D">
        <w:rPr>
          <w:rFonts w:eastAsia="Times New Roman" w:cs="Times New Roman"/>
          <w:color w:val="000000"/>
          <w:lang w:eastAsia="da-DK"/>
        </w:rPr>
        <w:t>4</w:t>
      </w:r>
      <w:r w:rsidR="00B21572" w:rsidRPr="00577043">
        <w:rPr>
          <w:rFonts w:eastAsia="Times New Roman" w:cs="Times New Roman"/>
          <w:color w:val="000000"/>
          <w:lang w:eastAsia="da-DK"/>
        </w:rPr>
        <w:t xml:space="preserve">, </w:t>
      </w:r>
      <w:r w:rsidR="00342C66" w:rsidRPr="00577043">
        <w:rPr>
          <w:rFonts w:eastAsia="Times New Roman" w:cs="Times New Roman"/>
          <w:color w:val="000000"/>
          <w:lang w:eastAsia="da-DK"/>
        </w:rPr>
        <w:t xml:space="preserve">strafbelagt at </w:t>
      </w:r>
      <w:r w:rsidR="0021775E" w:rsidRPr="00577043">
        <w:rPr>
          <w:rFonts w:eastAsia="Times New Roman" w:cs="Times New Roman"/>
          <w:color w:val="000000"/>
          <w:lang w:eastAsia="da-DK"/>
        </w:rPr>
        <w:t>undlade at efterko</w:t>
      </w:r>
      <w:r w:rsidR="00342C66" w:rsidRPr="00577043">
        <w:rPr>
          <w:rFonts w:eastAsia="Times New Roman" w:cs="Times New Roman"/>
          <w:color w:val="000000"/>
          <w:lang w:eastAsia="da-DK"/>
        </w:rPr>
        <w:t xml:space="preserve">mme et påbud fra den videnskabsetiske lægemiddelkomité om at informere forsøgspersoner, som kan have et krav på godtgørelse, jf. § </w:t>
      </w:r>
      <w:r w:rsidR="0016270D">
        <w:rPr>
          <w:rFonts w:eastAsia="Times New Roman" w:cs="Times New Roman"/>
          <w:color w:val="000000"/>
          <w:lang w:eastAsia="da-DK"/>
        </w:rPr>
        <w:t>34</w:t>
      </w:r>
      <w:r w:rsidR="00B21572" w:rsidRPr="00577043">
        <w:rPr>
          <w:rFonts w:eastAsia="Times New Roman" w:cs="Times New Roman"/>
          <w:color w:val="000000"/>
          <w:lang w:eastAsia="da-DK"/>
        </w:rPr>
        <w:t xml:space="preserve">, stk. </w:t>
      </w:r>
      <w:r w:rsidR="00BC4C6C">
        <w:rPr>
          <w:rFonts w:eastAsia="Times New Roman" w:cs="Times New Roman"/>
          <w:color w:val="000000"/>
          <w:lang w:eastAsia="da-DK"/>
        </w:rPr>
        <w:t>5</w:t>
      </w:r>
      <w:r w:rsidR="00342C66" w:rsidRPr="00577043">
        <w:rPr>
          <w:rFonts w:eastAsia="Times New Roman" w:cs="Times New Roman"/>
          <w:color w:val="000000"/>
          <w:lang w:eastAsia="da-DK"/>
        </w:rPr>
        <w:t>.</w:t>
      </w:r>
    </w:p>
    <w:p w14:paraId="3CE273BD" w14:textId="77777777" w:rsidR="00D16161" w:rsidRPr="00577043" w:rsidRDefault="00D16161" w:rsidP="0021775E">
      <w:pPr>
        <w:rPr>
          <w:rFonts w:eastAsia="Times New Roman" w:cs="Times New Roman"/>
          <w:color w:val="000000"/>
          <w:lang w:eastAsia="da-DK"/>
        </w:rPr>
      </w:pPr>
    </w:p>
    <w:p w14:paraId="567EDC1F" w14:textId="77777777" w:rsidR="000B30A8" w:rsidRPr="00577043" w:rsidRDefault="000B30A8" w:rsidP="000B30A8">
      <w:pPr>
        <w:rPr>
          <w:rFonts w:eastAsia="Times New Roman" w:cs="Times New Roman"/>
          <w:color w:val="000000"/>
          <w:lang w:eastAsia="da-DK"/>
        </w:rPr>
      </w:pPr>
      <w:r w:rsidRPr="00577043">
        <w:rPr>
          <w:rFonts w:eastAsia="Times New Roman" w:cs="Times New Roman"/>
          <w:color w:val="000000"/>
          <w:lang w:eastAsia="da-DK"/>
        </w:rPr>
        <w:t xml:space="preserve">Gældende </w:t>
      </w:r>
      <w:r w:rsidR="00684FDD">
        <w:rPr>
          <w:rFonts w:eastAsia="Times New Roman" w:cs="Times New Roman"/>
          <w:color w:val="000000"/>
          <w:lang w:eastAsia="da-DK"/>
        </w:rPr>
        <w:t xml:space="preserve">bestemmelser </w:t>
      </w:r>
      <w:r w:rsidRPr="00577043">
        <w:rPr>
          <w:rFonts w:eastAsia="Times New Roman" w:cs="Times New Roman"/>
          <w:color w:val="000000"/>
          <w:lang w:eastAsia="da-DK"/>
        </w:rPr>
        <w:t xml:space="preserve">i lov om lægemidler </w:t>
      </w:r>
      <w:r w:rsidR="00097086">
        <w:rPr>
          <w:rFonts w:eastAsia="Times New Roman" w:cs="Times New Roman"/>
          <w:color w:val="000000"/>
          <w:lang w:eastAsia="da-DK"/>
        </w:rPr>
        <w:t>om</w:t>
      </w:r>
      <w:r w:rsidRPr="00577043">
        <w:rPr>
          <w:rFonts w:eastAsia="Times New Roman" w:cs="Times New Roman"/>
          <w:color w:val="000000"/>
          <w:lang w:eastAsia="da-DK"/>
        </w:rPr>
        <w:t xml:space="preserve"> kliniske forsøg på dyr</w:t>
      </w:r>
      <w:r w:rsidR="009518C2">
        <w:rPr>
          <w:rFonts w:eastAsia="Times New Roman" w:cs="Times New Roman"/>
          <w:color w:val="000000"/>
          <w:lang w:eastAsia="da-DK"/>
        </w:rPr>
        <w:t xml:space="preserve"> videreføres med den foreslåede</w:t>
      </w:r>
      <w:r w:rsidRPr="00577043">
        <w:rPr>
          <w:rFonts w:eastAsia="Times New Roman" w:cs="Times New Roman"/>
          <w:color w:val="000000"/>
          <w:lang w:eastAsia="da-DK"/>
        </w:rPr>
        <w:t xml:space="preserve"> § </w:t>
      </w:r>
      <w:r w:rsidR="0016270D">
        <w:rPr>
          <w:rFonts w:eastAsia="Times New Roman" w:cs="Times New Roman"/>
          <w:color w:val="000000"/>
          <w:lang w:eastAsia="da-DK"/>
        </w:rPr>
        <w:t>35</w:t>
      </w:r>
      <w:r w:rsidRPr="00577043">
        <w:rPr>
          <w:rFonts w:eastAsia="Times New Roman" w:cs="Times New Roman"/>
          <w:color w:val="000000"/>
          <w:lang w:eastAsia="da-DK"/>
        </w:rPr>
        <w:t xml:space="preserve"> uændrede.</w:t>
      </w:r>
    </w:p>
    <w:p w14:paraId="5BCF6F85" w14:textId="77777777" w:rsidR="006119F9" w:rsidRDefault="006119F9" w:rsidP="006119F9">
      <w:pPr>
        <w:rPr>
          <w:rFonts w:eastAsia="Times New Roman" w:cs="Times New Roman"/>
          <w:color w:val="000000"/>
          <w:lang w:eastAsia="da-DK"/>
        </w:rPr>
      </w:pPr>
    </w:p>
    <w:p w14:paraId="3FF62E7D" w14:textId="77777777" w:rsidR="006119F9" w:rsidRDefault="0058651B" w:rsidP="006119F9">
      <w:pPr>
        <w:rPr>
          <w:rFonts w:eastAsia="Times New Roman" w:cs="Times New Roman"/>
          <w:color w:val="000000"/>
          <w:lang w:eastAsia="da-DK"/>
        </w:rPr>
      </w:pPr>
      <w:r>
        <w:rPr>
          <w:rFonts w:eastAsia="Times New Roman" w:cs="Times New Roman"/>
          <w:color w:val="000000"/>
          <w:lang w:eastAsia="da-DK"/>
        </w:rPr>
        <w:t>Lægemiddelstyrelsen</w:t>
      </w:r>
      <w:r w:rsidR="006119F9">
        <w:rPr>
          <w:rFonts w:eastAsia="Times New Roman" w:cs="Times New Roman"/>
          <w:color w:val="000000"/>
          <w:lang w:eastAsia="da-DK"/>
        </w:rPr>
        <w:t xml:space="preserve"> og en videnskabsetisk lægemiddelkomité koordinerer sagsbehandlingen i straffesager, således at hver myndighed vurderer overtrædelsen af de regler, myndigheden er ansvarlig for.</w:t>
      </w:r>
    </w:p>
    <w:p w14:paraId="62623DD6" w14:textId="77777777" w:rsidR="006119F9" w:rsidRPr="00577043" w:rsidRDefault="006119F9" w:rsidP="000B30A8">
      <w:pPr>
        <w:rPr>
          <w:rFonts w:eastAsia="Times New Roman" w:cs="Times New Roman"/>
          <w:color w:val="000000"/>
          <w:lang w:eastAsia="da-DK"/>
        </w:rPr>
      </w:pPr>
    </w:p>
    <w:p w14:paraId="6DEB1F12" w14:textId="77777777" w:rsidR="00352AD1" w:rsidRPr="00577043" w:rsidRDefault="00352AD1" w:rsidP="00CB2276">
      <w:pPr>
        <w:rPr>
          <w:rFonts w:eastAsia="Times New Roman" w:cs="Times New Roman"/>
          <w:b/>
          <w:color w:val="000000"/>
          <w:lang w:eastAsia="da-DK"/>
        </w:rPr>
      </w:pPr>
    </w:p>
    <w:p w14:paraId="7013D7B1" w14:textId="77777777" w:rsidR="004A0BF2" w:rsidRPr="00577043" w:rsidRDefault="004A0BF2" w:rsidP="00352AD1">
      <w:pPr>
        <w:pStyle w:val="Overskrift2"/>
        <w:jc w:val="left"/>
        <w:rPr>
          <w:rFonts w:eastAsia="Times New Roman" w:cs="Times New Roman"/>
          <w:lang w:eastAsia="da-DK"/>
        </w:rPr>
      </w:pPr>
      <w:r w:rsidRPr="00577043">
        <w:rPr>
          <w:rFonts w:eastAsia="Times New Roman" w:cs="Times New Roman"/>
          <w:iCs/>
          <w:lang w:eastAsia="da-DK"/>
        </w:rPr>
        <w:t>Til §</w:t>
      </w:r>
      <w:r w:rsidR="003417A8" w:rsidRPr="00577043">
        <w:rPr>
          <w:rFonts w:eastAsia="Times New Roman" w:cs="Times New Roman"/>
          <w:iCs/>
          <w:lang w:eastAsia="da-DK"/>
        </w:rPr>
        <w:t xml:space="preserve"> </w:t>
      </w:r>
      <w:r w:rsidR="00E371DD">
        <w:rPr>
          <w:rFonts w:eastAsia="Times New Roman" w:cs="Times New Roman"/>
          <w:iCs/>
          <w:lang w:eastAsia="da-DK"/>
        </w:rPr>
        <w:t>36</w:t>
      </w:r>
      <w:r w:rsidRPr="00577043">
        <w:rPr>
          <w:rFonts w:eastAsia="Times New Roman" w:cs="Times New Roman"/>
          <w:iCs/>
          <w:lang w:eastAsia="da-DK"/>
        </w:rPr>
        <w:t xml:space="preserve"> </w:t>
      </w:r>
      <w:r w:rsidRPr="00577043">
        <w:rPr>
          <w:rFonts w:eastAsia="Times New Roman" w:cs="Times New Roman"/>
          <w:lang w:eastAsia="da-DK"/>
        </w:rPr>
        <w:t>[Ikrafttræden overgangsordning m.v.]</w:t>
      </w:r>
    </w:p>
    <w:p w14:paraId="44469FB4" w14:textId="77777777" w:rsidR="00896539" w:rsidRPr="00577043" w:rsidRDefault="00896539" w:rsidP="005D00BE">
      <w:pPr>
        <w:spacing w:before="120"/>
        <w:rPr>
          <w:rFonts w:eastAsia="Times New Roman" w:cs="Times New Roman"/>
          <w:color w:val="000000"/>
          <w:lang w:eastAsia="da-DK"/>
        </w:rPr>
      </w:pPr>
      <w:r w:rsidRPr="00577043">
        <w:rPr>
          <w:rFonts w:eastAsia="Times New Roman" w:cs="Times New Roman"/>
          <w:color w:val="000000"/>
          <w:lang w:eastAsia="da-DK"/>
        </w:rPr>
        <w:t xml:space="preserve">Det er fastsat i </w:t>
      </w:r>
      <w:r w:rsidR="0003255B" w:rsidRPr="00577043">
        <w:rPr>
          <w:rFonts w:eastAsia="Times New Roman" w:cs="Times New Roman"/>
          <w:color w:val="000000"/>
          <w:lang w:eastAsia="da-DK"/>
        </w:rPr>
        <w:t xml:space="preserve">forordningens </w:t>
      </w:r>
      <w:r w:rsidR="00BD4D97" w:rsidRPr="00577043">
        <w:rPr>
          <w:rFonts w:eastAsia="Times New Roman" w:cs="Times New Roman"/>
          <w:bCs/>
          <w:color w:val="000000"/>
          <w:lang w:eastAsia="da-DK"/>
        </w:rPr>
        <w:t>art</w:t>
      </w:r>
      <w:r w:rsidR="00BD4D97">
        <w:rPr>
          <w:rFonts w:eastAsia="Times New Roman" w:cs="Times New Roman"/>
          <w:bCs/>
          <w:color w:val="000000"/>
          <w:lang w:eastAsia="da-DK"/>
        </w:rPr>
        <w:t>ikel</w:t>
      </w:r>
      <w:r w:rsidR="00BD4D97" w:rsidRPr="00577043">
        <w:rPr>
          <w:rFonts w:eastAsia="Times New Roman" w:cs="Times New Roman"/>
          <w:color w:val="000000"/>
          <w:lang w:eastAsia="da-DK"/>
        </w:rPr>
        <w:t xml:space="preserve"> </w:t>
      </w:r>
      <w:r w:rsidRPr="00577043">
        <w:rPr>
          <w:rFonts w:eastAsia="Times New Roman" w:cs="Times New Roman"/>
          <w:color w:val="000000"/>
          <w:lang w:eastAsia="da-DK"/>
        </w:rPr>
        <w:t>99, at den finder anvendelse fra seks måneder efter offentliggørelsen af Europa-Kommissionens meddelelse om, at EU-portalen og EU-Databasen har opnået fuld funktionsdygtighed</w:t>
      </w:r>
      <w:r w:rsidR="008F3356" w:rsidRPr="00577043">
        <w:rPr>
          <w:rFonts w:eastAsia="Times New Roman" w:cs="Times New Roman"/>
          <w:color w:val="000000"/>
          <w:lang w:eastAsia="da-DK"/>
        </w:rPr>
        <w:t xml:space="preserve">, og systemerne opfylder de funktionsspecifikationer, der er udarbejdet, jf. </w:t>
      </w:r>
      <w:r w:rsidR="00BD4D97" w:rsidRPr="00577043">
        <w:rPr>
          <w:rFonts w:eastAsia="Times New Roman" w:cs="Times New Roman"/>
          <w:bCs/>
          <w:color w:val="000000"/>
          <w:lang w:eastAsia="da-DK"/>
        </w:rPr>
        <w:t>art</w:t>
      </w:r>
      <w:r w:rsidR="00BD4D97">
        <w:rPr>
          <w:rFonts w:eastAsia="Times New Roman" w:cs="Times New Roman"/>
          <w:bCs/>
          <w:color w:val="000000"/>
          <w:lang w:eastAsia="da-DK"/>
        </w:rPr>
        <w:t>ikel</w:t>
      </w:r>
      <w:r w:rsidR="008F3356" w:rsidRPr="00577043">
        <w:rPr>
          <w:rFonts w:eastAsia="Times New Roman" w:cs="Times New Roman"/>
          <w:color w:val="000000"/>
          <w:lang w:eastAsia="da-DK"/>
        </w:rPr>
        <w:t xml:space="preserve"> 82. D</w:t>
      </w:r>
      <w:r w:rsidR="0003255B" w:rsidRPr="00577043">
        <w:rPr>
          <w:rFonts w:eastAsia="Times New Roman" w:cs="Times New Roman"/>
          <w:color w:val="000000"/>
          <w:lang w:eastAsia="da-DK"/>
        </w:rPr>
        <w:t>og kan</w:t>
      </w:r>
      <w:r w:rsidR="008F3356" w:rsidRPr="00577043">
        <w:rPr>
          <w:rFonts w:eastAsia="Times New Roman" w:cs="Times New Roman"/>
          <w:color w:val="000000"/>
          <w:lang w:eastAsia="da-DK"/>
        </w:rPr>
        <w:t xml:space="preserve"> forordningen under ingen omstændigheder finder anvendelse tidligere end den 28. maj 2016. </w:t>
      </w:r>
      <w:r w:rsidR="00867953" w:rsidRPr="00577043">
        <w:rPr>
          <w:rFonts w:eastAsia="Times New Roman" w:cs="Times New Roman"/>
          <w:color w:val="000000"/>
          <w:lang w:eastAsia="da-DK"/>
        </w:rPr>
        <w:t xml:space="preserve">[ </w:t>
      </w:r>
    </w:p>
    <w:p w14:paraId="6469A6B6" w14:textId="77777777" w:rsidR="00896539" w:rsidRPr="00577043" w:rsidRDefault="00896539" w:rsidP="00663579">
      <w:pPr>
        <w:rPr>
          <w:rFonts w:eastAsia="Times New Roman" w:cs="Times New Roman"/>
          <w:color w:val="000000"/>
          <w:lang w:eastAsia="da-DK"/>
        </w:rPr>
      </w:pPr>
    </w:p>
    <w:p w14:paraId="442D8AA7" w14:textId="77777777" w:rsidR="006F3C91" w:rsidRPr="00577043" w:rsidRDefault="00F51FBF" w:rsidP="00663579">
      <w:pPr>
        <w:rPr>
          <w:rFonts w:eastAsia="Times New Roman" w:cs="Times New Roman"/>
          <w:color w:val="000000"/>
          <w:lang w:eastAsia="da-DK"/>
        </w:rPr>
      </w:pPr>
      <w:r w:rsidRPr="00577043">
        <w:rPr>
          <w:rFonts w:eastAsia="Times New Roman" w:cs="Times New Roman"/>
          <w:color w:val="000000"/>
          <w:lang w:eastAsia="da-DK"/>
        </w:rPr>
        <w:t xml:space="preserve">I forordningens </w:t>
      </w:r>
      <w:r w:rsidR="00BD4D97" w:rsidRPr="00577043">
        <w:rPr>
          <w:rFonts w:eastAsia="Times New Roman" w:cs="Times New Roman"/>
          <w:bCs/>
          <w:color w:val="000000"/>
          <w:lang w:eastAsia="da-DK"/>
        </w:rPr>
        <w:t>art</w:t>
      </w:r>
      <w:r w:rsidR="00BD4D97">
        <w:rPr>
          <w:rFonts w:eastAsia="Times New Roman" w:cs="Times New Roman"/>
          <w:bCs/>
          <w:color w:val="000000"/>
          <w:lang w:eastAsia="da-DK"/>
        </w:rPr>
        <w:t>ikel</w:t>
      </w:r>
      <w:r w:rsidR="00BD4D97" w:rsidRPr="00577043">
        <w:rPr>
          <w:rFonts w:eastAsia="Times New Roman" w:cs="Times New Roman"/>
          <w:color w:val="000000"/>
          <w:lang w:eastAsia="da-DK"/>
        </w:rPr>
        <w:t xml:space="preserve"> </w:t>
      </w:r>
      <w:r w:rsidRPr="00577043">
        <w:rPr>
          <w:rFonts w:eastAsia="Times New Roman" w:cs="Times New Roman"/>
          <w:color w:val="000000"/>
          <w:lang w:eastAsia="da-DK"/>
        </w:rPr>
        <w:t>98 er der fastsat en overgangsbestemmelse, s</w:t>
      </w:r>
      <w:r w:rsidR="006F3C91" w:rsidRPr="00577043">
        <w:rPr>
          <w:rFonts w:eastAsia="Times New Roman" w:cs="Times New Roman"/>
          <w:color w:val="000000"/>
          <w:lang w:eastAsia="da-DK"/>
        </w:rPr>
        <w:t>om indebærer, at ansøgninger om kliniske forsøg, som er indgivet inden forordningen finder anvendelse, fortsat er omfattet af direktiv 2001/20/EF. Det er endvidere fastsat, at en ansøgning i e</w:t>
      </w:r>
      <w:r w:rsidR="00545C6A" w:rsidRPr="00577043">
        <w:rPr>
          <w:rFonts w:eastAsia="Times New Roman" w:cs="Times New Roman"/>
          <w:color w:val="000000"/>
          <w:lang w:eastAsia="da-DK"/>
        </w:rPr>
        <w:t>n periode på 1 år efter datoen, hvor forordningen først finder anvendelse, kan indgives i overensstemmelse med artikel 6,</w:t>
      </w:r>
      <w:r w:rsidR="00D15113" w:rsidRPr="00577043">
        <w:rPr>
          <w:rFonts w:eastAsia="Times New Roman" w:cs="Times New Roman"/>
          <w:color w:val="000000"/>
          <w:lang w:eastAsia="da-DK"/>
        </w:rPr>
        <w:t xml:space="preserve"> </w:t>
      </w:r>
      <w:r w:rsidR="00545C6A" w:rsidRPr="00577043">
        <w:rPr>
          <w:rFonts w:eastAsia="Times New Roman" w:cs="Times New Roman"/>
          <w:color w:val="000000"/>
          <w:lang w:eastAsia="da-DK"/>
        </w:rPr>
        <w:t>7 og 9 i direktiv 2001/20/EF. Ansøgninger, som indgives efter direktivet i overgangsperioden vil være omfattet af</w:t>
      </w:r>
      <w:r w:rsidR="0006121E" w:rsidRPr="00577043">
        <w:rPr>
          <w:rFonts w:eastAsia="Times New Roman" w:cs="Times New Roman"/>
          <w:color w:val="000000"/>
          <w:lang w:eastAsia="da-DK"/>
        </w:rPr>
        <w:t xml:space="preserve"> direktivet indtil 3 år efter denne dato.</w:t>
      </w:r>
    </w:p>
    <w:p w14:paraId="222D1025" w14:textId="77777777" w:rsidR="00F51FBF" w:rsidRPr="00577043" w:rsidRDefault="00F51FBF" w:rsidP="00663579">
      <w:pPr>
        <w:rPr>
          <w:rFonts w:eastAsia="Times New Roman" w:cs="Times New Roman"/>
          <w:color w:val="000000"/>
          <w:lang w:eastAsia="da-DK"/>
        </w:rPr>
      </w:pPr>
    </w:p>
    <w:p w14:paraId="35D12F5D" w14:textId="77777777" w:rsidR="0003255B" w:rsidRPr="00577043" w:rsidRDefault="00055A04" w:rsidP="00663579">
      <w:pPr>
        <w:rPr>
          <w:rFonts w:eastAsia="Times New Roman" w:cs="Times New Roman"/>
          <w:color w:val="000000"/>
          <w:lang w:eastAsia="da-DK"/>
        </w:rPr>
      </w:pPr>
      <w:r w:rsidRPr="00577043">
        <w:rPr>
          <w:rFonts w:eastAsia="Times New Roman" w:cs="Times New Roman"/>
          <w:color w:val="000000"/>
          <w:lang w:eastAsia="da-DK"/>
        </w:rPr>
        <w:t>Da der endnu ikke er kendskab til, hvornår forordningen vil finde anvendelse, foreslås det</w:t>
      </w:r>
      <w:r w:rsidR="006B5D2D">
        <w:rPr>
          <w:rFonts w:eastAsia="Times New Roman" w:cs="Times New Roman"/>
          <w:color w:val="000000"/>
          <w:lang w:eastAsia="da-DK"/>
        </w:rPr>
        <w:t xml:space="preserve"> med </w:t>
      </w:r>
      <w:r w:rsidR="006B5D2D">
        <w:rPr>
          <w:rFonts w:eastAsia="Times New Roman" w:cs="Times New Roman"/>
          <w:i/>
          <w:color w:val="000000"/>
          <w:lang w:eastAsia="da-DK"/>
        </w:rPr>
        <w:t xml:space="preserve">§ </w:t>
      </w:r>
      <w:r w:rsidR="00D0247D">
        <w:rPr>
          <w:rFonts w:eastAsia="Times New Roman" w:cs="Times New Roman"/>
          <w:i/>
          <w:color w:val="000000"/>
          <w:lang w:eastAsia="da-DK"/>
        </w:rPr>
        <w:t>36</w:t>
      </w:r>
      <w:r w:rsidR="006B5D2D">
        <w:rPr>
          <w:rFonts w:eastAsia="Times New Roman" w:cs="Times New Roman"/>
          <w:i/>
          <w:color w:val="000000"/>
          <w:lang w:eastAsia="da-DK"/>
        </w:rPr>
        <w:t>, stk. 1</w:t>
      </w:r>
      <w:r w:rsidRPr="00577043">
        <w:rPr>
          <w:rFonts w:eastAsia="Times New Roman" w:cs="Times New Roman"/>
          <w:color w:val="000000"/>
          <w:lang w:eastAsia="da-DK"/>
        </w:rPr>
        <w:t xml:space="preserve">, at </w:t>
      </w:r>
      <w:r w:rsidR="00A22EAD" w:rsidRPr="00577043">
        <w:rPr>
          <w:rFonts w:eastAsia="Times New Roman" w:cs="Times New Roman"/>
          <w:color w:val="000000"/>
          <w:lang w:eastAsia="da-DK"/>
        </w:rPr>
        <w:t>sundheds- og ældreministeren</w:t>
      </w:r>
      <w:r w:rsidRPr="00577043">
        <w:rPr>
          <w:rFonts w:eastAsia="Times New Roman" w:cs="Times New Roman"/>
          <w:color w:val="000000"/>
          <w:lang w:eastAsia="da-DK"/>
        </w:rPr>
        <w:t xml:space="preserve"> bemyndiges til ved bekendtgørelse at fastsætte datoen for denne lovs ikrafttrædelse. Bemyndigelsen vil blive benyttet til at fastsætte, at loven træder i kraft den dato, hvor forordningen skal finde anvendelse, jf. forordningens </w:t>
      </w:r>
      <w:r w:rsidR="00BD4D97" w:rsidRPr="00577043">
        <w:rPr>
          <w:rFonts w:eastAsia="Times New Roman" w:cs="Times New Roman"/>
          <w:bCs/>
          <w:color w:val="000000"/>
          <w:lang w:eastAsia="da-DK"/>
        </w:rPr>
        <w:t>art</w:t>
      </w:r>
      <w:r w:rsidR="00BD4D97">
        <w:rPr>
          <w:rFonts w:eastAsia="Times New Roman" w:cs="Times New Roman"/>
          <w:bCs/>
          <w:color w:val="000000"/>
          <w:lang w:eastAsia="da-DK"/>
        </w:rPr>
        <w:t>ikel</w:t>
      </w:r>
      <w:r w:rsidR="00BD4D97" w:rsidRPr="00577043">
        <w:rPr>
          <w:rFonts w:eastAsia="Times New Roman" w:cs="Times New Roman"/>
          <w:color w:val="000000"/>
          <w:lang w:eastAsia="da-DK"/>
        </w:rPr>
        <w:t xml:space="preserve"> </w:t>
      </w:r>
      <w:r w:rsidRPr="00577043">
        <w:rPr>
          <w:rFonts w:eastAsia="Times New Roman" w:cs="Times New Roman"/>
          <w:color w:val="000000"/>
          <w:lang w:eastAsia="da-DK"/>
        </w:rPr>
        <w:t>99.</w:t>
      </w:r>
    </w:p>
    <w:p w14:paraId="3512C70C" w14:textId="77777777" w:rsidR="00D15113" w:rsidRPr="00577043" w:rsidRDefault="00D15113" w:rsidP="00663579">
      <w:pPr>
        <w:rPr>
          <w:rFonts w:eastAsia="Times New Roman" w:cs="Times New Roman"/>
          <w:color w:val="000000"/>
          <w:lang w:eastAsia="da-DK"/>
        </w:rPr>
      </w:pPr>
    </w:p>
    <w:p w14:paraId="2C6ADD0B" w14:textId="77777777" w:rsidR="00663579" w:rsidRPr="00577043" w:rsidRDefault="0003255B" w:rsidP="00663579">
      <w:pPr>
        <w:rPr>
          <w:rFonts w:eastAsia="Times New Roman" w:cs="Times New Roman"/>
          <w:color w:val="000000"/>
          <w:lang w:eastAsia="da-DK"/>
        </w:rPr>
      </w:pPr>
      <w:r w:rsidRPr="00577043">
        <w:rPr>
          <w:rFonts w:eastAsia="Times New Roman" w:cs="Times New Roman"/>
          <w:color w:val="000000"/>
          <w:lang w:eastAsia="da-DK"/>
        </w:rPr>
        <w:t>Det foreslås endvidere</w:t>
      </w:r>
      <w:r w:rsidR="006B5D2D">
        <w:rPr>
          <w:rFonts w:eastAsia="Times New Roman" w:cs="Times New Roman"/>
          <w:color w:val="000000"/>
          <w:lang w:eastAsia="da-DK"/>
        </w:rPr>
        <w:t xml:space="preserve"> med </w:t>
      </w:r>
      <w:r w:rsidR="006B5D2D">
        <w:rPr>
          <w:rFonts w:eastAsia="Times New Roman" w:cs="Times New Roman"/>
          <w:i/>
          <w:color w:val="000000"/>
          <w:lang w:eastAsia="da-DK"/>
        </w:rPr>
        <w:t xml:space="preserve">§ </w:t>
      </w:r>
      <w:r w:rsidR="00D0247D">
        <w:rPr>
          <w:rFonts w:eastAsia="Times New Roman" w:cs="Times New Roman"/>
          <w:i/>
          <w:color w:val="000000"/>
          <w:lang w:eastAsia="da-DK"/>
        </w:rPr>
        <w:t>36</w:t>
      </w:r>
      <w:r w:rsidR="006B5D2D">
        <w:rPr>
          <w:rFonts w:eastAsia="Times New Roman" w:cs="Times New Roman"/>
          <w:i/>
          <w:color w:val="000000"/>
          <w:lang w:eastAsia="da-DK"/>
        </w:rPr>
        <w:t>, stk. 2</w:t>
      </w:r>
      <w:r w:rsidR="00DA6F30" w:rsidRPr="00577043">
        <w:rPr>
          <w:rFonts w:eastAsia="Times New Roman" w:cs="Times New Roman"/>
          <w:color w:val="000000"/>
          <w:lang w:eastAsia="da-DK"/>
        </w:rPr>
        <w:t xml:space="preserve">, at </w:t>
      </w:r>
      <w:r w:rsidR="00F51FBF" w:rsidRPr="00577043">
        <w:rPr>
          <w:rFonts w:eastAsia="Times New Roman" w:cs="Times New Roman"/>
          <w:color w:val="000000"/>
          <w:lang w:eastAsia="da-DK"/>
        </w:rPr>
        <w:t xml:space="preserve">§§ 88-92 </w:t>
      </w:r>
      <w:r w:rsidR="006B5D2D">
        <w:rPr>
          <w:rFonts w:eastAsia="Times New Roman" w:cs="Times New Roman"/>
          <w:color w:val="000000"/>
          <w:lang w:eastAsia="da-DK"/>
        </w:rPr>
        <w:t xml:space="preserve">i lægemiddelloven </w:t>
      </w:r>
      <w:r w:rsidR="00DA6F30" w:rsidRPr="00577043">
        <w:rPr>
          <w:rFonts w:eastAsia="Times New Roman" w:cs="Times New Roman"/>
          <w:color w:val="000000"/>
          <w:lang w:eastAsia="da-DK"/>
        </w:rPr>
        <w:t>samt</w:t>
      </w:r>
      <w:r w:rsidR="00F51FBF" w:rsidRPr="00577043">
        <w:rPr>
          <w:rFonts w:eastAsia="Times New Roman" w:cs="Times New Roman"/>
          <w:color w:val="000000"/>
          <w:lang w:eastAsia="da-DK"/>
        </w:rPr>
        <w:t xml:space="preserve"> reglerne i </w:t>
      </w:r>
      <w:r w:rsidR="00663579" w:rsidRPr="00577043">
        <w:rPr>
          <w:rFonts w:eastAsia="Times New Roman" w:cs="Times New Roman"/>
          <w:color w:val="000000"/>
          <w:lang w:eastAsia="da-DK"/>
        </w:rPr>
        <w:t xml:space="preserve">komitéloven, som gælder lægemiddelforsøg, </w:t>
      </w:r>
      <w:r w:rsidR="00F51FBF" w:rsidRPr="00577043">
        <w:rPr>
          <w:rFonts w:eastAsia="Times New Roman" w:cs="Times New Roman"/>
          <w:color w:val="000000"/>
          <w:lang w:eastAsia="da-DK"/>
        </w:rPr>
        <w:t xml:space="preserve">som hovedregel </w:t>
      </w:r>
      <w:r w:rsidR="00663579" w:rsidRPr="00577043">
        <w:rPr>
          <w:rFonts w:eastAsia="Times New Roman" w:cs="Times New Roman"/>
          <w:color w:val="000000"/>
          <w:lang w:eastAsia="da-DK"/>
        </w:rPr>
        <w:t xml:space="preserve">ikke </w:t>
      </w:r>
      <w:r w:rsidR="00DA6F30" w:rsidRPr="00577043">
        <w:rPr>
          <w:rFonts w:eastAsia="Times New Roman" w:cs="Times New Roman"/>
          <w:color w:val="000000"/>
          <w:lang w:eastAsia="da-DK"/>
        </w:rPr>
        <w:t xml:space="preserve">skal finde </w:t>
      </w:r>
      <w:r w:rsidR="00663579" w:rsidRPr="00577043">
        <w:rPr>
          <w:rFonts w:eastAsia="Times New Roman" w:cs="Times New Roman"/>
          <w:color w:val="000000"/>
          <w:lang w:eastAsia="da-DK"/>
        </w:rPr>
        <w:t>anvendelse fra den dato, hvor forordningen finder anvendelse</w:t>
      </w:r>
      <w:r w:rsidR="00F51FBF" w:rsidRPr="00577043">
        <w:rPr>
          <w:rFonts w:eastAsia="Times New Roman" w:cs="Times New Roman"/>
          <w:color w:val="000000"/>
          <w:lang w:eastAsia="da-DK"/>
        </w:rPr>
        <w:t>.</w:t>
      </w:r>
      <w:r w:rsidR="00DA6F30" w:rsidRPr="00577043">
        <w:rPr>
          <w:rFonts w:eastAsia="Times New Roman" w:cs="Times New Roman"/>
          <w:color w:val="000000"/>
          <w:lang w:eastAsia="da-DK"/>
        </w:rPr>
        <w:t xml:space="preserve"> Der er to undtagelser</w:t>
      </w:r>
      <w:r w:rsidRPr="00577043">
        <w:rPr>
          <w:rFonts w:eastAsia="Times New Roman" w:cs="Times New Roman"/>
          <w:color w:val="000000"/>
          <w:lang w:eastAsia="da-DK"/>
        </w:rPr>
        <w:t xml:space="preserve"> til denne hovedregel</w:t>
      </w:r>
      <w:r w:rsidR="00DA6F30" w:rsidRPr="00577043">
        <w:rPr>
          <w:rFonts w:eastAsia="Times New Roman" w:cs="Times New Roman"/>
          <w:color w:val="000000"/>
          <w:lang w:eastAsia="da-DK"/>
        </w:rPr>
        <w:t xml:space="preserve">, jf. </w:t>
      </w:r>
      <w:r w:rsidR="00F51FBF" w:rsidRPr="00577043">
        <w:rPr>
          <w:rFonts w:eastAsia="Times New Roman" w:cs="Times New Roman"/>
          <w:color w:val="000000"/>
          <w:lang w:eastAsia="da-DK"/>
        </w:rPr>
        <w:t xml:space="preserve">forordningens </w:t>
      </w:r>
      <w:r w:rsidR="00BD4D97" w:rsidRPr="00577043">
        <w:rPr>
          <w:rFonts w:eastAsia="Times New Roman" w:cs="Times New Roman"/>
          <w:bCs/>
          <w:color w:val="000000"/>
          <w:lang w:eastAsia="da-DK"/>
        </w:rPr>
        <w:t>art</w:t>
      </w:r>
      <w:r w:rsidR="00BD4D97">
        <w:rPr>
          <w:rFonts w:eastAsia="Times New Roman" w:cs="Times New Roman"/>
          <w:bCs/>
          <w:color w:val="000000"/>
          <w:lang w:eastAsia="da-DK"/>
        </w:rPr>
        <w:t>ikel</w:t>
      </w:r>
      <w:r w:rsidR="00BD4D97" w:rsidRPr="00577043">
        <w:rPr>
          <w:rFonts w:eastAsia="Times New Roman" w:cs="Times New Roman"/>
          <w:color w:val="000000"/>
          <w:lang w:eastAsia="da-DK"/>
        </w:rPr>
        <w:t xml:space="preserve"> </w:t>
      </w:r>
      <w:r w:rsidR="00F51FBF" w:rsidRPr="00577043">
        <w:rPr>
          <w:rFonts w:eastAsia="Times New Roman" w:cs="Times New Roman"/>
          <w:color w:val="000000"/>
          <w:lang w:eastAsia="da-DK"/>
        </w:rPr>
        <w:t>98 om overgangsbestemmelser</w:t>
      </w:r>
      <w:r w:rsidR="00663579" w:rsidRPr="00577043">
        <w:rPr>
          <w:rFonts w:eastAsia="Times New Roman" w:cs="Times New Roman"/>
          <w:color w:val="000000"/>
          <w:lang w:eastAsia="da-DK"/>
        </w:rPr>
        <w:t xml:space="preserve">. De nævnte </w:t>
      </w:r>
      <w:r w:rsidR="00DA6F30" w:rsidRPr="00577043">
        <w:rPr>
          <w:rFonts w:eastAsia="Times New Roman" w:cs="Times New Roman"/>
          <w:color w:val="000000"/>
          <w:lang w:eastAsia="da-DK"/>
        </w:rPr>
        <w:t>bestemmelser i lov om lægemidler og</w:t>
      </w:r>
      <w:r w:rsidR="00663579" w:rsidRPr="00577043">
        <w:rPr>
          <w:rFonts w:eastAsia="Times New Roman" w:cs="Times New Roman"/>
          <w:color w:val="000000"/>
          <w:lang w:eastAsia="da-DK"/>
        </w:rPr>
        <w:t xml:space="preserve"> i komitéloven finder således </w:t>
      </w:r>
      <w:r w:rsidR="006B5D2D">
        <w:rPr>
          <w:rFonts w:eastAsia="Times New Roman" w:cs="Times New Roman"/>
          <w:color w:val="000000"/>
          <w:lang w:eastAsia="da-DK"/>
        </w:rPr>
        <w:t xml:space="preserve">efter de foreslåede </w:t>
      </w:r>
      <w:r w:rsidR="006B5D2D">
        <w:rPr>
          <w:rFonts w:eastAsia="Times New Roman" w:cs="Times New Roman"/>
          <w:i/>
          <w:color w:val="000000"/>
          <w:lang w:eastAsia="da-DK"/>
        </w:rPr>
        <w:t xml:space="preserve">§ </w:t>
      </w:r>
      <w:r w:rsidR="00D0247D">
        <w:rPr>
          <w:rFonts w:eastAsia="Times New Roman" w:cs="Times New Roman"/>
          <w:i/>
          <w:color w:val="000000"/>
          <w:lang w:eastAsia="da-DK"/>
        </w:rPr>
        <w:t>36</w:t>
      </w:r>
      <w:r w:rsidR="006B5D2D">
        <w:rPr>
          <w:rFonts w:eastAsia="Times New Roman" w:cs="Times New Roman"/>
          <w:i/>
          <w:color w:val="000000"/>
          <w:lang w:eastAsia="da-DK"/>
        </w:rPr>
        <w:t xml:space="preserve">, stk. </w:t>
      </w:r>
      <w:r w:rsidR="006B5D2D" w:rsidRPr="006B5D2D">
        <w:rPr>
          <w:rFonts w:eastAsia="Times New Roman" w:cs="Times New Roman"/>
          <w:color w:val="000000"/>
          <w:lang w:eastAsia="da-DK"/>
        </w:rPr>
        <w:t>3</w:t>
      </w:r>
      <w:r w:rsidR="006B5D2D">
        <w:rPr>
          <w:rFonts w:eastAsia="Times New Roman" w:cs="Times New Roman"/>
          <w:color w:val="000000"/>
          <w:lang w:eastAsia="da-DK"/>
        </w:rPr>
        <w:t xml:space="preserve"> </w:t>
      </w:r>
      <w:r w:rsidR="006B5D2D" w:rsidRPr="006B5D2D">
        <w:rPr>
          <w:rFonts w:eastAsia="Times New Roman" w:cs="Times New Roman"/>
          <w:i/>
          <w:color w:val="000000"/>
          <w:lang w:eastAsia="da-DK"/>
        </w:rPr>
        <w:t>og 4</w:t>
      </w:r>
      <w:r w:rsidR="006B5D2D">
        <w:rPr>
          <w:rFonts w:eastAsia="Times New Roman" w:cs="Times New Roman"/>
          <w:color w:val="000000"/>
          <w:lang w:eastAsia="da-DK"/>
        </w:rPr>
        <w:t xml:space="preserve">, </w:t>
      </w:r>
      <w:r w:rsidR="00663579" w:rsidRPr="006B5D2D">
        <w:rPr>
          <w:rFonts w:eastAsia="Times New Roman" w:cs="Times New Roman"/>
          <w:color w:val="000000"/>
          <w:lang w:eastAsia="da-DK"/>
        </w:rPr>
        <w:t>fortsat</w:t>
      </w:r>
      <w:r w:rsidR="00B75F5A" w:rsidRPr="00577043">
        <w:rPr>
          <w:rFonts w:eastAsia="Times New Roman" w:cs="Times New Roman"/>
          <w:color w:val="000000"/>
          <w:lang w:eastAsia="da-DK"/>
        </w:rPr>
        <w:t xml:space="preserve"> anvendelse indtil </w:t>
      </w:r>
      <w:r w:rsidR="00804E94" w:rsidRPr="00577043">
        <w:rPr>
          <w:rFonts w:eastAsia="Times New Roman" w:cs="Times New Roman"/>
          <w:color w:val="000000"/>
          <w:lang w:eastAsia="da-DK"/>
        </w:rPr>
        <w:t>3 år efter forordningen finder anvendelse</w:t>
      </w:r>
      <w:r w:rsidR="00B75F5A" w:rsidRPr="00577043">
        <w:rPr>
          <w:rFonts w:eastAsia="Times New Roman" w:cs="Times New Roman"/>
          <w:color w:val="000000"/>
          <w:lang w:eastAsia="da-DK"/>
        </w:rPr>
        <w:t xml:space="preserve"> </w:t>
      </w:r>
      <w:r w:rsidR="00663579" w:rsidRPr="00577043">
        <w:rPr>
          <w:rFonts w:eastAsia="Times New Roman" w:cs="Times New Roman"/>
          <w:color w:val="000000"/>
          <w:lang w:eastAsia="da-DK"/>
        </w:rPr>
        <w:t>når:</w:t>
      </w:r>
    </w:p>
    <w:p w14:paraId="1AAEC5FE" w14:textId="77777777" w:rsidR="00663579" w:rsidRPr="00577043" w:rsidRDefault="00663579" w:rsidP="00663579">
      <w:pPr>
        <w:numPr>
          <w:ilvl w:val="0"/>
          <w:numId w:val="19"/>
        </w:numPr>
        <w:rPr>
          <w:rFonts w:eastAsia="Times New Roman" w:cs="Times New Roman"/>
          <w:color w:val="000000"/>
          <w:lang w:eastAsia="da-DK"/>
        </w:rPr>
      </w:pPr>
      <w:r w:rsidRPr="00577043">
        <w:rPr>
          <w:rFonts w:eastAsia="Times New Roman" w:cs="Times New Roman"/>
          <w:color w:val="000000"/>
          <w:lang w:eastAsia="da-DK"/>
        </w:rPr>
        <w:t>Sponsor anmelder det kliniske forsøg m</w:t>
      </w:r>
      <w:r w:rsidR="00B75F5A" w:rsidRPr="00577043">
        <w:rPr>
          <w:rFonts w:eastAsia="Times New Roman" w:cs="Times New Roman"/>
          <w:color w:val="000000"/>
          <w:lang w:eastAsia="da-DK"/>
        </w:rPr>
        <w:t xml:space="preserve">ed lægemidler, før </w:t>
      </w:r>
      <w:r w:rsidR="00D15113" w:rsidRPr="00577043">
        <w:rPr>
          <w:rFonts w:eastAsia="Times New Roman" w:cs="Times New Roman"/>
          <w:color w:val="000000"/>
          <w:lang w:eastAsia="da-DK"/>
        </w:rPr>
        <w:t>forordningen finder anvendelse</w:t>
      </w:r>
      <w:r w:rsidRPr="00577043">
        <w:rPr>
          <w:rFonts w:eastAsia="Times New Roman" w:cs="Times New Roman"/>
          <w:color w:val="000000"/>
          <w:lang w:eastAsia="da-DK"/>
        </w:rPr>
        <w:t>.</w:t>
      </w:r>
    </w:p>
    <w:p w14:paraId="3DEE5054" w14:textId="77777777" w:rsidR="00663579" w:rsidRPr="00577043" w:rsidRDefault="00663579" w:rsidP="00663579">
      <w:pPr>
        <w:numPr>
          <w:ilvl w:val="0"/>
          <w:numId w:val="19"/>
        </w:numPr>
        <w:rPr>
          <w:rFonts w:eastAsia="Times New Roman" w:cs="Times New Roman"/>
          <w:color w:val="000000"/>
          <w:lang w:eastAsia="da-DK"/>
        </w:rPr>
      </w:pPr>
      <w:r w:rsidRPr="00577043">
        <w:rPr>
          <w:rFonts w:eastAsia="Times New Roman" w:cs="Times New Roman"/>
          <w:color w:val="000000"/>
          <w:lang w:eastAsia="da-DK"/>
        </w:rPr>
        <w:t xml:space="preserve">Sponsor vælger at anmelde efter reglerne i komitéloven, hvilket er en mulighed </w:t>
      </w:r>
      <w:r w:rsidR="00B75F5A" w:rsidRPr="00577043">
        <w:rPr>
          <w:rFonts w:eastAsia="Times New Roman" w:cs="Times New Roman"/>
          <w:color w:val="000000"/>
          <w:lang w:eastAsia="da-DK"/>
        </w:rPr>
        <w:t xml:space="preserve">indtil </w:t>
      </w:r>
      <w:r w:rsidR="00D15113" w:rsidRPr="00577043">
        <w:rPr>
          <w:rFonts w:eastAsia="Times New Roman" w:cs="Times New Roman"/>
          <w:color w:val="000000"/>
          <w:lang w:eastAsia="da-DK"/>
        </w:rPr>
        <w:t>3 år efter datoen, hvor forordningen først finder anvendelse</w:t>
      </w:r>
      <w:r w:rsidRPr="00577043">
        <w:rPr>
          <w:rFonts w:eastAsia="Times New Roman" w:cs="Times New Roman"/>
          <w:color w:val="000000"/>
          <w:lang w:eastAsia="da-DK"/>
        </w:rPr>
        <w:t>.</w:t>
      </w:r>
    </w:p>
    <w:p w14:paraId="7A8C830C" w14:textId="77777777" w:rsidR="00DA6F30" w:rsidRPr="00577043" w:rsidRDefault="00DA6F30" w:rsidP="00DA6F30">
      <w:pPr>
        <w:rPr>
          <w:rFonts w:eastAsia="Times New Roman" w:cs="Times New Roman"/>
          <w:color w:val="000000"/>
          <w:lang w:eastAsia="da-DK"/>
        </w:rPr>
      </w:pPr>
    </w:p>
    <w:p w14:paraId="7B8C7012" w14:textId="77777777" w:rsidR="00DA6F30" w:rsidRPr="00577043" w:rsidRDefault="00DA6F30" w:rsidP="00DA6F30">
      <w:pPr>
        <w:rPr>
          <w:rFonts w:eastAsia="Times New Roman" w:cs="Times New Roman"/>
          <w:color w:val="000000"/>
          <w:lang w:eastAsia="da-DK"/>
        </w:rPr>
      </w:pPr>
      <w:r w:rsidRPr="00577043">
        <w:rPr>
          <w:rFonts w:eastAsia="Times New Roman" w:cs="Times New Roman"/>
          <w:color w:val="000000"/>
          <w:lang w:eastAsia="da-DK"/>
        </w:rPr>
        <w:t xml:space="preserve">Ansøgninger som er indgivet i overensstemmelse med </w:t>
      </w:r>
      <w:r w:rsidR="00B75F5A" w:rsidRPr="00577043">
        <w:rPr>
          <w:rFonts w:eastAsia="Times New Roman" w:cs="Times New Roman"/>
          <w:color w:val="000000"/>
          <w:lang w:eastAsia="da-DK"/>
        </w:rPr>
        <w:t>§</w:t>
      </w:r>
      <w:r w:rsidRPr="00577043">
        <w:rPr>
          <w:rFonts w:eastAsia="Times New Roman" w:cs="Times New Roman"/>
          <w:color w:val="000000"/>
          <w:lang w:eastAsia="da-DK"/>
        </w:rPr>
        <w:t xml:space="preserve"> 88</w:t>
      </w:r>
      <w:r w:rsidR="00B75F5A" w:rsidRPr="00577043">
        <w:rPr>
          <w:rFonts w:eastAsia="Times New Roman" w:cs="Times New Roman"/>
          <w:color w:val="000000"/>
          <w:lang w:eastAsia="da-DK"/>
        </w:rPr>
        <w:t xml:space="preserve"> i lov om lægemidler og </w:t>
      </w:r>
      <w:r w:rsidRPr="00577043">
        <w:rPr>
          <w:rFonts w:eastAsia="Times New Roman" w:cs="Times New Roman"/>
          <w:color w:val="000000"/>
          <w:lang w:eastAsia="da-DK"/>
        </w:rPr>
        <w:t>§</w:t>
      </w:r>
      <w:r w:rsidR="00D15113" w:rsidRPr="00577043">
        <w:rPr>
          <w:rFonts w:eastAsia="Times New Roman" w:cs="Times New Roman"/>
          <w:color w:val="000000"/>
          <w:lang w:eastAsia="da-DK"/>
        </w:rPr>
        <w:t xml:space="preserve"> </w:t>
      </w:r>
      <w:r w:rsidR="00B75F5A" w:rsidRPr="00577043">
        <w:rPr>
          <w:rFonts w:eastAsia="Times New Roman" w:cs="Times New Roman"/>
          <w:color w:val="000000"/>
          <w:lang w:eastAsia="da-DK"/>
        </w:rPr>
        <w:t>14</w:t>
      </w:r>
      <w:r w:rsidRPr="00577043">
        <w:rPr>
          <w:rFonts w:eastAsia="Times New Roman" w:cs="Times New Roman"/>
          <w:color w:val="000000"/>
          <w:lang w:eastAsia="da-DK"/>
        </w:rPr>
        <w:t xml:space="preserve"> i komitéloven er omfattet af de </w:t>
      </w:r>
      <w:r w:rsidR="00B75F5A" w:rsidRPr="00577043">
        <w:rPr>
          <w:rFonts w:eastAsia="Times New Roman" w:cs="Times New Roman"/>
          <w:color w:val="000000"/>
          <w:lang w:eastAsia="da-DK"/>
        </w:rPr>
        <w:t xml:space="preserve">to </w:t>
      </w:r>
      <w:r w:rsidRPr="00577043">
        <w:rPr>
          <w:rFonts w:eastAsia="Times New Roman" w:cs="Times New Roman"/>
          <w:color w:val="000000"/>
          <w:lang w:eastAsia="da-DK"/>
        </w:rPr>
        <w:t>nævnte love indtil den</w:t>
      </w:r>
      <w:r w:rsidR="00055A04" w:rsidRPr="00577043">
        <w:rPr>
          <w:rFonts w:eastAsia="Times New Roman" w:cs="Times New Roman"/>
          <w:color w:val="000000"/>
          <w:lang w:eastAsia="da-DK"/>
        </w:rPr>
        <w:t>ne lov træder i kraft</w:t>
      </w:r>
      <w:r w:rsidRPr="00577043">
        <w:rPr>
          <w:rFonts w:eastAsia="Times New Roman" w:cs="Times New Roman"/>
          <w:color w:val="000000"/>
          <w:lang w:eastAsia="da-DK"/>
        </w:rPr>
        <w:t>.</w:t>
      </w:r>
      <w:r w:rsidR="003C34F8" w:rsidRPr="00577043">
        <w:rPr>
          <w:rFonts w:eastAsia="Times New Roman" w:cs="Times New Roman"/>
          <w:color w:val="000000"/>
          <w:lang w:eastAsia="da-DK"/>
        </w:rPr>
        <w:t xml:space="preserve"> Dette indebærer bl.a., at gennemførelsen af et forsøg forudsætter separate godkendelser fra hhv. </w:t>
      </w:r>
      <w:r w:rsidR="0058651B">
        <w:rPr>
          <w:rFonts w:eastAsia="Times New Roman" w:cs="Times New Roman"/>
          <w:color w:val="000000"/>
          <w:lang w:eastAsia="da-DK"/>
        </w:rPr>
        <w:t>Lægemiddelstyrelsen</w:t>
      </w:r>
      <w:r w:rsidR="003C34F8" w:rsidRPr="00577043">
        <w:rPr>
          <w:rFonts w:eastAsia="Times New Roman" w:cs="Times New Roman"/>
          <w:color w:val="000000"/>
          <w:lang w:eastAsia="da-DK"/>
        </w:rPr>
        <w:t xml:space="preserve"> og den videnskabsetiske lægemiddelkomite. Det indebærer endvidere, at forsøges følges op efter bestemmelser i hhv. lov om lægemidler og komitéloven, herunder </w:t>
      </w:r>
      <w:r w:rsidR="00097086">
        <w:rPr>
          <w:rFonts w:eastAsia="Times New Roman" w:cs="Times New Roman"/>
          <w:color w:val="000000"/>
          <w:lang w:eastAsia="da-DK"/>
        </w:rPr>
        <w:t>om</w:t>
      </w:r>
      <w:r w:rsidR="003C34F8" w:rsidRPr="00577043">
        <w:rPr>
          <w:rFonts w:eastAsia="Times New Roman" w:cs="Times New Roman"/>
          <w:color w:val="000000"/>
          <w:lang w:eastAsia="da-DK"/>
        </w:rPr>
        <w:t xml:space="preserve"> indberetning af bivirkninger, inspektion m</w:t>
      </w:r>
      <w:r w:rsidR="00094421">
        <w:rPr>
          <w:rFonts w:eastAsia="Times New Roman" w:cs="Times New Roman"/>
          <w:color w:val="000000"/>
          <w:lang w:eastAsia="da-DK"/>
        </w:rPr>
        <w:t>.</w:t>
      </w:r>
      <w:r w:rsidR="003C34F8" w:rsidRPr="00577043">
        <w:rPr>
          <w:rFonts w:eastAsia="Times New Roman" w:cs="Times New Roman"/>
          <w:color w:val="000000"/>
          <w:lang w:eastAsia="da-DK"/>
        </w:rPr>
        <w:t>v.</w:t>
      </w:r>
      <w:r w:rsidRPr="00577043">
        <w:rPr>
          <w:rFonts w:eastAsia="Times New Roman" w:cs="Times New Roman"/>
          <w:color w:val="000000"/>
          <w:lang w:eastAsia="da-DK"/>
        </w:rPr>
        <w:t xml:space="preserve"> </w:t>
      </w:r>
    </w:p>
    <w:p w14:paraId="55B46789" w14:textId="77777777" w:rsidR="00A07334" w:rsidRDefault="00A07334" w:rsidP="00DA6F30">
      <w:pPr>
        <w:rPr>
          <w:rFonts w:eastAsia="Times New Roman" w:cs="Times New Roman"/>
          <w:color w:val="000000"/>
          <w:lang w:eastAsia="da-DK"/>
        </w:rPr>
      </w:pPr>
    </w:p>
    <w:p w14:paraId="04F4DC7F" w14:textId="77777777" w:rsidR="006B5D2D" w:rsidRPr="006B5D2D" w:rsidRDefault="006B5D2D" w:rsidP="00DA6F30">
      <w:pPr>
        <w:rPr>
          <w:rFonts w:eastAsia="Times New Roman" w:cs="Times New Roman"/>
          <w:color w:val="000000"/>
          <w:lang w:eastAsia="da-DK"/>
        </w:rPr>
      </w:pPr>
      <w:r>
        <w:rPr>
          <w:rFonts w:eastAsia="Times New Roman" w:cs="Times New Roman"/>
          <w:color w:val="000000"/>
          <w:lang w:eastAsia="da-DK"/>
        </w:rPr>
        <w:t xml:space="preserve">Med den foreslåede </w:t>
      </w:r>
      <w:r>
        <w:rPr>
          <w:rFonts w:eastAsia="Times New Roman" w:cs="Times New Roman"/>
          <w:i/>
          <w:color w:val="000000"/>
          <w:lang w:eastAsia="da-DK"/>
        </w:rPr>
        <w:t xml:space="preserve">§ </w:t>
      </w:r>
      <w:r w:rsidR="00D0247D">
        <w:rPr>
          <w:rFonts w:eastAsia="Times New Roman" w:cs="Times New Roman"/>
          <w:i/>
          <w:color w:val="000000"/>
          <w:lang w:eastAsia="da-DK"/>
        </w:rPr>
        <w:t>36</w:t>
      </w:r>
      <w:r>
        <w:rPr>
          <w:rFonts w:eastAsia="Times New Roman" w:cs="Times New Roman"/>
          <w:i/>
          <w:color w:val="000000"/>
          <w:lang w:eastAsia="da-DK"/>
        </w:rPr>
        <w:t>, stk. 5</w:t>
      </w:r>
      <w:r>
        <w:rPr>
          <w:rFonts w:eastAsia="Times New Roman" w:cs="Times New Roman"/>
          <w:color w:val="000000"/>
          <w:lang w:eastAsia="da-DK"/>
        </w:rPr>
        <w:t xml:space="preserve">, træder lovforslagets forslag om at ophæve bestemmelser i komitéloven, som vedrører lægemiddelforsøg, i kraft, når alene forordningens bestemmelser </w:t>
      </w:r>
      <w:r w:rsidR="0055373F">
        <w:rPr>
          <w:rFonts w:eastAsia="Times New Roman" w:cs="Times New Roman"/>
          <w:color w:val="000000"/>
          <w:lang w:eastAsia="da-DK"/>
        </w:rPr>
        <w:t xml:space="preserve">og denne lov </w:t>
      </w:r>
      <w:r>
        <w:rPr>
          <w:rFonts w:eastAsia="Times New Roman" w:cs="Times New Roman"/>
          <w:color w:val="000000"/>
          <w:lang w:eastAsia="da-DK"/>
        </w:rPr>
        <w:t>finder anvendelse</w:t>
      </w:r>
      <w:r w:rsidR="0055373F">
        <w:rPr>
          <w:rFonts w:eastAsia="Times New Roman" w:cs="Times New Roman"/>
          <w:color w:val="000000"/>
          <w:lang w:eastAsia="da-DK"/>
        </w:rPr>
        <w:t xml:space="preserve"> for kliniske forsøg med lægemidler</w:t>
      </w:r>
      <w:r>
        <w:rPr>
          <w:rFonts w:eastAsia="Times New Roman" w:cs="Times New Roman"/>
          <w:color w:val="000000"/>
          <w:lang w:eastAsia="da-DK"/>
        </w:rPr>
        <w:t>, dvs. 3 år efter forordningen skal finde anvendelse</w:t>
      </w:r>
    </w:p>
    <w:p w14:paraId="40BBB2ED" w14:textId="77777777" w:rsidR="006B5D2D" w:rsidRDefault="006B5D2D" w:rsidP="00DA6F30">
      <w:pPr>
        <w:rPr>
          <w:rFonts w:eastAsia="Times New Roman" w:cs="Times New Roman"/>
          <w:color w:val="000000"/>
          <w:lang w:eastAsia="da-DK"/>
        </w:rPr>
      </w:pPr>
    </w:p>
    <w:p w14:paraId="7BCC102D" w14:textId="77777777" w:rsidR="006B5D2D" w:rsidRPr="006B5D2D" w:rsidRDefault="006B5D2D" w:rsidP="00DA6F30">
      <w:pPr>
        <w:rPr>
          <w:rFonts w:eastAsia="Times New Roman" w:cs="Times New Roman"/>
          <w:color w:val="000000"/>
          <w:lang w:eastAsia="da-DK"/>
        </w:rPr>
      </w:pPr>
      <w:r>
        <w:rPr>
          <w:rFonts w:eastAsia="Times New Roman" w:cs="Times New Roman"/>
          <w:color w:val="000000"/>
          <w:lang w:eastAsia="da-DK"/>
        </w:rPr>
        <w:t xml:space="preserve">Tilsvarende foreslås det med </w:t>
      </w:r>
      <w:r>
        <w:rPr>
          <w:rFonts w:eastAsia="Times New Roman" w:cs="Times New Roman"/>
          <w:i/>
          <w:color w:val="000000"/>
          <w:lang w:eastAsia="da-DK"/>
        </w:rPr>
        <w:t xml:space="preserve">§ </w:t>
      </w:r>
      <w:r w:rsidR="00D0247D">
        <w:rPr>
          <w:rFonts w:eastAsia="Times New Roman" w:cs="Times New Roman"/>
          <w:i/>
          <w:color w:val="000000"/>
          <w:lang w:eastAsia="da-DK"/>
        </w:rPr>
        <w:t>36</w:t>
      </w:r>
      <w:r>
        <w:rPr>
          <w:rFonts w:eastAsia="Times New Roman" w:cs="Times New Roman"/>
          <w:i/>
          <w:color w:val="000000"/>
          <w:lang w:eastAsia="da-DK"/>
        </w:rPr>
        <w:t xml:space="preserve">, stk. 6, </w:t>
      </w:r>
      <w:r>
        <w:rPr>
          <w:rFonts w:eastAsia="Times New Roman" w:cs="Times New Roman"/>
          <w:color w:val="000000"/>
          <w:lang w:eastAsia="da-DK"/>
        </w:rPr>
        <w:t xml:space="preserve">at forslag til ændringer af komitéloven, som indebærer, at der henvises til de videnskabsetiske lægemiddelkomiteer i stedet for de regionale komiteer og DNVK, </w:t>
      </w:r>
      <w:r w:rsidR="00EC4DED">
        <w:rPr>
          <w:rFonts w:eastAsia="Times New Roman" w:cs="Times New Roman"/>
          <w:color w:val="000000"/>
          <w:lang w:eastAsia="da-DK"/>
        </w:rPr>
        <w:t>ikke længere skal finde anvendelse, når lægemiddelforsøg reguleres af forordningens regler samt denne lov.</w:t>
      </w:r>
    </w:p>
    <w:p w14:paraId="5E9585A2" w14:textId="77777777" w:rsidR="006B5D2D" w:rsidRPr="00577043" w:rsidRDefault="006B5D2D" w:rsidP="00DA6F30">
      <w:pPr>
        <w:rPr>
          <w:rFonts w:eastAsia="Times New Roman" w:cs="Times New Roman"/>
          <w:color w:val="000000"/>
          <w:lang w:eastAsia="da-DK"/>
        </w:rPr>
      </w:pPr>
    </w:p>
    <w:p w14:paraId="29347849" w14:textId="77777777" w:rsidR="003C34F8" w:rsidRPr="00577043" w:rsidRDefault="00A253F3" w:rsidP="00A07334">
      <w:pPr>
        <w:rPr>
          <w:rFonts w:eastAsia="Times New Roman" w:cs="Times New Roman"/>
          <w:color w:val="000000"/>
          <w:lang w:eastAsia="da-DK"/>
        </w:rPr>
      </w:pPr>
      <w:r>
        <w:rPr>
          <w:rFonts w:eastAsia="Times New Roman" w:cs="Times New Roman"/>
          <w:color w:val="000000"/>
          <w:lang w:eastAsia="da-DK"/>
        </w:rPr>
        <w:t xml:space="preserve">Det foreslås med </w:t>
      </w:r>
      <w:r w:rsidRPr="00A253F3">
        <w:rPr>
          <w:rFonts w:eastAsia="Times New Roman" w:cs="Times New Roman"/>
          <w:i/>
          <w:color w:val="000000"/>
          <w:lang w:eastAsia="da-DK"/>
        </w:rPr>
        <w:t xml:space="preserve">§ </w:t>
      </w:r>
      <w:r w:rsidR="00D0247D">
        <w:rPr>
          <w:rFonts w:eastAsia="Times New Roman" w:cs="Times New Roman"/>
          <w:i/>
          <w:color w:val="000000"/>
          <w:lang w:eastAsia="da-DK"/>
        </w:rPr>
        <w:t>36</w:t>
      </w:r>
      <w:r w:rsidR="006B5D2D">
        <w:rPr>
          <w:rFonts w:eastAsia="Times New Roman" w:cs="Times New Roman"/>
          <w:i/>
          <w:color w:val="000000"/>
          <w:lang w:eastAsia="da-DK"/>
        </w:rPr>
        <w:t>, stk. 7</w:t>
      </w:r>
      <w:r w:rsidR="00811809" w:rsidRPr="00577043">
        <w:rPr>
          <w:rFonts w:eastAsia="Times New Roman" w:cs="Times New Roman"/>
          <w:color w:val="000000"/>
          <w:lang w:eastAsia="da-DK"/>
        </w:rPr>
        <w:t>, at fastsætte at medlemmer til de nye lægemiddelkomiteer skal udpeges inden lovens ikrafttræden, således at komiteerne kan neds</w:t>
      </w:r>
      <w:r w:rsidR="000A0EFD" w:rsidRPr="00577043">
        <w:rPr>
          <w:rFonts w:eastAsia="Times New Roman" w:cs="Times New Roman"/>
          <w:color w:val="000000"/>
          <w:lang w:eastAsia="da-DK"/>
        </w:rPr>
        <w:t>ættes og virke</w:t>
      </w:r>
      <w:r w:rsidR="003C34F8" w:rsidRPr="00577043">
        <w:rPr>
          <w:rFonts w:eastAsia="Times New Roman" w:cs="Times New Roman"/>
          <w:color w:val="000000"/>
          <w:lang w:eastAsia="da-DK"/>
        </w:rPr>
        <w:t>r fra den dato, hvor</w:t>
      </w:r>
      <w:r w:rsidR="000A0EFD" w:rsidRPr="00577043">
        <w:rPr>
          <w:rFonts w:eastAsia="Times New Roman" w:cs="Times New Roman"/>
          <w:color w:val="000000"/>
          <w:lang w:eastAsia="da-DK"/>
        </w:rPr>
        <w:t xml:space="preserve"> </w:t>
      </w:r>
      <w:r w:rsidR="00811809" w:rsidRPr="00577043">
        <w:rPr>
          <w:rFonts w:eastAsia="Times New Roman" w:cs="Times New Roman"/>
          <w:color w:val="000000"/>
          <w:lang w:eastAsia="da-DK"/>
        </w:rPr>
        <w:t xml:space="preserve">forordningen </w:t>
      </w:r>
      <w:r w:rsidR="000A0EFD" w:rsidRPr="00577043">
        <w:rPr>
          <w:rFonts w:eastAsia="Times New Roman" w:cs="Times New Roman"/>
          <w:color w:val="000000"/>
          <w:lang w:eastAsia="da-DK"/>
        </w:rPr>
        <w:t xml:space="preserve">skal </w:t>
      </w:r>
      <w:r w:rsidR="00811809" w:rsidRPr="00577043">
        <w:rPr>
          <w:rFonts w:eastAsia="Times New Roman" w:cs="Times New Roman"/>
          <w:color w:val="000000"/>
          <w:lang w:eastAsia="da-DK"/>
        </w:rPr>
        <w:t>finde</w:t>
      </w:r>
      <w:r w:rsidR="000A0EFD" w:rsidRPr="00577043">
        <w:rPr>
          <w:rFonts w:eastAsia="Times New Roman" w:cs="Times New Roman"/>
          <w:color w:val="000000"/>
          <w:lang w:eastAsia="da-DK"/>
        </w:rPr>
        <w:t xml:space="preserve"> anvendelse. </w:t>
      </w:r>
    </w:p>
    <w:p w14:paraId="5CF75997" w14:textId="77777777" w:rsidR="003C34F8" w:rsidRPr="00577043" w:rsidRDefault="003C34F8" w:rsidP="00A07334">
      <w:pPr>
        <w:rPr>
          <w:rFonts w:eastAsia="Times New Roman" w:cs="Times New Roman"/>
          <w:color w:val="000000"/>
          <w:lang w:eastAsia="da-DK"/>
        </w:rPr>
      </w:pPr>
    </w:p>
    <w:p w14:paraId="1834E43A" w14:textId="77777777" w:rsidR="00A07334" w:rsidRPr="00577043" w:rsidRDefault="000A0EFD" w:rsidP="00A07334">
      <w:pPr>
        <w:rPr>
          <w:rFonts w:eastAsia="Times New Roman" w:cs="Times New Roman"/>
          <w:color w:val="000000"/>
          <w:lang w:eastAsia="da-DK"/>
        </w:rPr>
      </w:pPr>
      <w:r w:rsidRPr="00577043">
        <w:rPr>
          <w:rFonts w:eastAsia="Times New Roman" w:cs="Times New Roman"/>
          <w:color w:val="000000"/>
          <w:lang w:eastAsia="da-DK"/>
        </w:rPr>
        <w:t xml:space="preserve">Det er med § 10, stk. 8, foreslået, at udpegningen til de videnskabsetiske lægemiddelkomiteer følger den for regionsrådene gældende valgperiode. Lovforslaget har derfor som konsekvens, at der allerede med virkning fra 2017 skal udpeges nye medlemmer. Det er derfor med </w:t>
      </w:r>
      <w:r w:rsidRPr="006B5D2D">
        <w:rPr>
          <w:rFonts w:eastAsia="Times New Roman" w:cs="Times New Roman"/>
          <w:color w:val="000000"/>
          <w:lang w:eastAsia="da-DK"/>
        </w:rPr>
        <w:t>§</w:t>
      </w:r>
      <w:r w:rsidR="00A253F3" w:rsidRPr="006B5D2D">
        <w:rPr>
          <w:rFonts w:eastAsia="Times New Roman" w:cs="Times New Roman"/>
          <w:color w:val="000000"/>
          <w:lang w:eastAsia="da-DK"/>
        </w:rPr>
        <w:t xml:space="preserve"> </w:t>
      </w:r>
      <w:r w:rsidR="00D0247D">
        <w:rPr>
          <w:rFonts w:eastAsia="Times New Roman" w:cs="Times New Roman"/>
          <w:color w:val="000000"/>
          <w:lang w:eastAsia="da-DK"/>
        </w:rPr>
        <w:t>36</w:t>
      </w:r>
      <w:r w:rsidR="00542636" w:rsidRPr="006B5D2D">
        <w:rPr>
          <w:rFonts w:eastAsia="Times New Roman" w:cs="Times New Roman"/>
          <w:color w:val="000000"/>
          <w:lang w:eastAsia="da-DK"/>
        </w:rPr>
        <w:t>, stk. 7,</w:t>
      </w:r>
      <w:r w:rsidR="00542636" w:rsidRPr="00577043">
        <w:rPr>
          <w:rFonts w:eastAsia="Times New Roman" w:cs="Times New Roman"/>
          <w:color w:val="000000"/>
          <w:lang w:eastAsia="da-DK"/>
        </w:rPr>
        <w:t xml:space="preserve"> foreslået en</w:t>
      </w:r>
      <w:r w:rsidRPr="00577043">
        <w:rPr>
          <w:rFonts w:eastAsia="Times New Roman" w:cs="Times New Roman"/>
          <w:color w:val="000000"/>
          <w:lang w:eastAsia="da-DK"/>
        </w:rPr>
        <w:t xml:space="preserve"> overgangsbestemmelse </w:t>
      </w:r>
      <w:r w:rsidR="00097086">
        <w:rPr>
          <w:rFonts w:eastAsia="Times New Roman" w:cs="Times New Roman"/>
          <w:color w:val="000000"/>
          <w:lang w:eastAsia="da-DK"/>
        </w:rPr>
        <w:t xml:space="preserve">om </w:t>
      </w:r>
      <w:r w:rsidRPr="00577043">
        <w:rPr>
          <w:rFonts w:eastAsia="Times New Roman" w:cs="Times New Roman"/>
          <w:color w:val="000000"/>
          <w:lang w:eastAsia="da-DK"/>
        </w:rPr>
        <w:t>den første udpegningsperiode</w:t>
      </w:r>
      <w:r w:rsidR="00542636" w:rsidRPr="00577043">
        <w:rPr>
          <w:rFonts w:eastAsia="Times New Roman" w:cs="Times New Roman"/>
          <w:color w:val="000000"/>
          <w:lang w:eastAsia="da-DK"/>
        </w:rPr>
        <w:t>, som indebærer</w:t>
      </w:r>
      <w:r w:rsidRPr="00577043">
        <w:rPr>
          <w:rFonts w:eastAsia="Times New Roman" w:cs="Times New Roman"/>
          <w:color w:val="000000"/>
          <w:lang w:eastAsia="da-DK"/>
        </w:rPr>
        <w:t>, at den første udpegningsperiode (2016-2017) ikke medgår i opgørelsen af, om et medlem kan genudpeges.</w:t>
      </w:r>
      <w:r w:rsidR="00722E70" w:rsidRPr="00577043">
        <w:rPr>
          <w:rFonts w:eastAsia="Times New Roman" w:cs="Times New Roman"/>
          <w:color w:val="000000"/>
          <w:lang w:eastAsia="da-DK"/>
        </w:rPr>
        <w:t xml:space="preserve"> </w:t>
      </w:r>
    </w:p>
    <w:p w14:paraId="40244DE7" w14:textId="77777777" w:rsidR="001C03D8" w:rsidRPr="00577043" w:rsidRDefault="00C4716E" w:rsidP="00894671">
      <w:pPr>
        <w:pStyle w:val="Overskrift1"/>
        <w:rPr>
          <w:rFonts w:eastAsia="Times New Roman"/>
          <w:color w:val="000000"/>
          <w:lang w:eastAsia="da-DK"/>
        </w:rPr>
      </w:pPr>
      <w:r w:rsidRPr="00577043">
        <w:rPr>
          <w:rFonts w:eastAsia="Times New Roman"/>
          <w:lang w:eastAsia="da-DK"/>
        </w:rPr>
        <w:t xml:space="preserve">Til § </w:t>
      </w:r>
      <w:r w:rsidR="00D0247D">
        <w:rPr>
          <w:rFonts w:eastAsia="Times New Roman"/>
          <w:lang w:eastAsia="da-DK"/>
        </w:rPr>
        <w:t>37</w:t>
      </w:r>
      <w:r w:rsidRPr="00577043">
        <w:rPr>
          <w:rFonts w:eastAsia="Times New Roman"/>
          <w:lang w:eastAsia="da-DK"/>
        </w:rPr>
        <w:t xml:space="preserve"> [Ændringer i komitéloven]</w:t>
      </w:r>
    </w:p>
    <w:p w14:paraId="4BCD5FAC" w14:textId="77777777" w:rsidR="00144524" w:rsidRPr="00577043" w:rsidRDefault="00144524" w:rsidP="008419A3">
      <w:pPr>
        <w:rPr>
          <w:rFonts w:eastAsia="Times New Roman" w:cs="Times New Roman"/>
          <w:b/>
          <w:color w:val="000000"/>
          <w:lang w:eastAsia="da-DK"/>
        </w:rPr>
      </w:pPr>
    </w:p>
    <w:p w14:paraId="20DC31A3" w14:textId="77777777" w:rsidR="00F83626" w:rsidRPr="00577043" w:rsidRDefault="00F83626" w:rsidP="00F83626">
      <w:pPr>
        <w:rPr>
          <w:rFonts w:eastAsia="Times New Roman" w:cs="Times New Roman"/>
          <w:b/>
          <w:color w:val="000000"/>
          <w:lang w:eastAsia="da-DK"/>
        </w:rPr>
      </w:pPr>
    </w:p>
    <w:p w14:paraId="3A690020" w14:textId="77777777" w:rsidR="00C371DA" w:rsidRPr="00577043" w:rsidRDefault="00C371DA" w:rsidP="00C371DA">
      <w:pPr>
        <w:rPr>
          <w:rFonts w:eastAsia="Times New Roman" w:cs="Times New Roman"/>
          <w:b/>
          <w:color w:val="000000"/>
          <w:lang w:eastAsia="da-DK"/>
        </w:rPr>
      </w:pPr>
      <w:r w:rsidRPr="00577043">
        <w:rPr>
          <w:rFonts w:eastAsia="Times New Roman" w:cs="Times New Roman"/>
          <w:b/>
          <w:color w:val="000000"/>
          <w:lang w:eastAsia="da-DK"/>
        </w:rPr>
        <w:t xml:space="preserve">Til nr. 1. </w:t>
      </w:r>
    </w:p>
    <w:p w14:paraId="69369128" w14:textId="77777777" w:rsidR="00C371DA" w:rsidRPr="00577043" w:rsidRDefault="00C371DA" w:rsidP="00C371DA">
      <w:pPr>
        <w:rPr>
          <w:rFonts w:eastAsia="Times New Roman" w:cs="Times New Roman"/>
          <w:color w:val="000000"/>
          <w:lang w:eastAsia="da-DK"/>
        </w:rPr>
      </w:pPr>
      <w:r w:rsidRPr="00577043">
        <w:rPr>
          <w:rFonts w:eastAsia="Times New Roman" w:cs="Times New Roman"/>
          <w:color w:val="000000"/>
          <w:lang w:eastAsia="da-DK"/>
        </w:rPr>
        <w:t xml:space="preserve">   Med forslaget erstattes overalt i loven ”Den Nationale Videnskabsetiske Komité” med: ”National Videnskabsetiske Komité” med henblik på forenkling.</w:t>
      </w:r>
    </w:p>
    <w:p w14:paraId="6D6B9AF2" w14:textId="77777777" w:rsidR="00C371DA" w:rsidRPr="00577043" w:rsidRDefault="00C371DA" w:rsidP="00F83626">
      <w:pPr>
        <w:rPr>
          <w:rFonts w:eastAsia="Times New Roman" w:cs="Times New Roman"/>
          <w:b/>
          <w:color w:val="000000"/>
          <w:lang w:eastAsia="da-DK"/>
        </w:rPr>
      </w:pPr>
    </w:p>
    <w:p w14:paraId="542439F0" w14:textId="77777777" w:rsidR="00144524" w:rsidRPr="00577043" w:rsidRDefault="00F83626" w:rsidP="00F83626">
      <w:pPr>
        <w:rPr>
          <w:rFonts w:eastAsia="Times New Roman" w:cs="Times New Roman"/>
          <w:b/>
          <w:i/>
          <w:color w:val="000000"/>
          <w:lang w:eastAsia="da-DK"/>
        </w:rPr>
      </w:pPr>
      <w:r w:rsidRPr="00577043">
        <w:rPr>
          <w:rFonts w:eastAsia="Times New Roman" w:cs="Times New Roman"/>
          <w:b/>
          <w:color w:val="000000"/>
          <w:lang w:eastAsia="da-DK"/>
        </w:rPr>
        <w:t xml:space="preserve">Til nr. </w:t>
      </w:r>
      <w:r w:rsidR="008419A3" w:rsidRPr="00577043">
        <w:rPr>
          <w:rFonts w:eastAsia="Times New Roman" w:cs="Times New Roman"/>
          <w:b/>
          <w:color w:val="000000"/>
          <w:lang w:eastAsia="da-DK"/>
        </w:rPr>
        <w:t>2</w:t>
      </w:r>
      <w:r w:rsidRPr="00577043">
        <w:rPr>
          <w:rFonts w:eastAsia="Times New Roman" w:cs="Times New Roman"/>
          <w:b/>
          <w:color w:val="000000"/>
          <w:lang w:eastAsia="da-DK"/>
        </w:rPr>
        <w:t>.</w:t>
      </w:r>
      <w:r w:rsidRPr="00577043">
        <w:rPr>
          <w:rFonts w:eastAsia="Times New Roman" w:cs="Times New Roman"/>
          <w:b/>
          <w:i/>
          <w:color w:val="000000"/>
          <w:lang w:eastAsia="da-DK"/>
        </w:rPr>
        <w:t xml:space="preserve">  </w:t>
      </w:r>
    </w:p>
    <w:p w14:paraId="0CCF8821" w14:textId="77777777" w:rsidR="00F83626" w:rsidRPr="00577043" w:rsidRDefault="0036460E" w:rsidP="00F83626">
      <w:pPr>
        <w:rPr>
          <w:rFonts w:eastAsia="Times New Roman" w:cs="Times New Roman"/>
          <w:color w:val="000000"/>
          <w:lang w:eastAsia="da-DK"/>
        </w:rPr>
      </w:pPr>
      <w:r w:rsidRPr="00577043">
        <w:rPr>
          <w:rFonts w:eastAsia="Times New Roman" w:cs="Times New Roman"/>
          <w:color w:val="000000"/>
          <w:lang w:eastAsia="da-DK"/>
        </w:rPr>
        <w:t xml:space="preserve">   </w:t>
      </w:r>
      <w:r w:rsidR="00F83626" w:rsidRPr="00577043">
        <w:rPr>
          <w:rFonts w:eastAsia="Times New Roman" w:cs="Times New Roman"/>
          <w:color w:val="000000"/>
          <w:lang w:eastAsia="da-DK"/>
        </w:rPr>
        <w:t xml:space="preserve">Med forslaget erstattes overalt i loven </w:t>
      </w:r>
      <w:r w:rsidR="00B65B6C" w:rsidRPr="00577043">
        <w:rPr>
          <w:rFonts w:eastAsia="Times New Roman" w:cs="Times New Roman"/>
          <w:color w:val="000000"/>
          <w:lang w:eastAsia="da-DK"/>
        </w:rPr>
        <w:t>”</w:t>
      </w:r>
      <w:r w:rsidR="00F83626" w:rsidRPr="00577043">
        <w:rPr>
          <w:rFonts w:eastAsia="Times New Roman" w:cs="Times New Roman"/>
          <w:color w:val="000000"/>
          <w:lang w:eastAsia="da-DK"/>
        </w:rPr>
        <w:t>Lægemiddelstyrelsen” med ”</w:t>
      </w:r>
      <w:r w:rsidR="0058651B">
        <w:rPr>
          <w:rFonts w:eastAsia="Times New Roman" w:cs="Times New Roman"/>
          <w:color w:val="000000"/>
          <w:lang w:eastAsia="da-DK"/>
        </w:rPr>
        <w:t>Lægemiddelstyrelsen</w:t>
      </w:r>
      <w:r w:rsidR="00F83626" w:rsidRPr="00577043">
        <w:rPr>
          <w:rFonts w:eastAsia="Times New Roman" w:cs="Times New Roman"/>
          <w:color w:val="000000"/>
          <w:lang w:eastAsia="da-DK"/>
        </w:rPr>
        <w:t>”</w:t>
      </w:r>
      <w:r w:rsidR="00B65B6C" w:rsidRPr="00577043">
        <w:rPr>
          <w:rFonts w:eastAsia="Times New Roman" w:cs="Times New Roman"/>
          <w:color w:val="000000"/>
          <w:lang w:eastAsia="da-DK"/>
        </w:rPr>
        <w:t xml:space="preserve"> </w:t>
      </w:r>
      <w:r w:rsidR="00B47F98" w:rsidRPr="00577043">
        <w:rPr>
          <w:rFonts w:eastAsia="Times New Roman" w:cs="Times New Roman"/>
          <w:color w:val="000000"/>
          <w:lang w:eastAsia="da-DK"/>
        </w:rPr>
        <w:t xml:space="preserve">i overensstemmelse med </w:t>
      </w:r>
      <w:r w:rsidR="00B65B6C" w:rsidRPr="00577043">
        <w:rPr>
          <w:rFonts w:eastAsia="Times New Roman" w:cs="Times New Roman"/>
          <w:color w:val="000000"/>
          <w:lang w:eastAsia="da-DK"/>
        </w:rPr>
        <w:t>myndighedens navn</w:t>
      </w:r>
      <w:r w:rsidR="00B47F98" w:rsidRPr="00577043">
        <w:rPr>
          <w:rFonts w:eastAsia="Times New Roman" w:cs="Times New Roman"/>
          <w:color w:val="000000"/>
          <w:lang w:eastAsia="da-DK"/>
        </w:rPr>
        <w:t xml:space="preserve"> i dag</w:t>
      </w:r>
      <w:r w:rsidR="00B65B6C" w:rsidRPr="00577043">
        <w:rPr>
          <w:rFonts w:eastAsia="Times New Roman" w:cs="Times New Roman"/>
          <w:color w:val="000000"/>
          <w:lang w:eastAsia="da-DK"/>
        </w:rPr>
        <w:t>.</w:t>
      </w:r>
    </w:p>
    <w:p w14:paraId="10A60899" w14:textId="77777777" w:rsidR="00F83626" w:rsidRPr="00577043" w:rsidRDefault="00F83626" w:rsidP="00F83626">
      <w:pPr>
        <w:rPr>
          <w:rFonts w:eastAsia="Times New Roman" w:cs="Times New Roman"/>
          <w:b/>
          <w:color w:val="000000"/>
          <w:lang w:eastAsia="da-DK"/>
        </w:rPr>
      </w:pPr>
    </w:p>
    <w:p w14:paraId="4CA4884F" w14:textId="77777777" w:rsidR="00F83626" w:rsidRPr="00577043" w:rsidRDefault="00144524" w:rsidP="00894671">
      <w:pPr>
        <w:pStyle w:val="Overskrift2"/>
        <w:jc w:val="left"/>
        <w:rPr>
          <w:rFonts w:eastAsia="Times New Roman"/>
          <w:lang w:eastAsia="da-DK"/>
        </w:rPr>
      </w:pPr>
      <w:r w:rsidRPr="00577043">
        <w:rPr>
          <w:rFonts w:eastAsia="Times New Roman"/>
          <w:lang w:eastAsia="da-DK"/>
        </w:rPr>
        <w:t>Til nr. 3</w:t>
      </w:r>
      <w:r w:rsidR="00052E9B" w:rsidRPr="00577043">
        <w:rPr>
          <w:rFonts w:eastAsia="Times New Roman"/>
          <w:lang w:eastAsia="da-DK"/>
        </w:rPr>
        <w:t>-</w:t>
      </w:r>
      <w:r w:rsidR="007007F6">
        <w:rPr>
          <w:rFonts w:eastAsia="Times New Roman"/>
          <w:lang w:eastAsia="da-DK"/>
        </w:rPr>
        <w:t>7</w:t>
      </w:r>
      <w:r w:rsidR="00052E9B" w:rsidRPr="00577043">
        <w:rPr>
          <w:rFonts w:eastAsia="Times New Roman"/>
          <w:lang w:eastAsia="da-DK"/>
        </w:rPr>
        <w:t xml:space="preserve"> og nr.</w:t>
      </w:r>
      <w:r w:rsidR="00F83626" w:rsidRPr="00577043">
        <w:rPr>
          <w:rFonts w:eastAsia="Times New Roman"/>
          <w:lang w:eastAsia="da-DK"/>
        </w:rPr>
        <w:t xml:space="preserve"> </w:t>
      </w:r>
      <w:r w:rsidR="00E53DC2">
        <w:rPr>
          <w:rFonts w:eastAsia="Times New Roman"/>
          <w:lang w:eastAsia="da-DK"/>
        </w:rPr>
        <w:t xml:space="preserve">12-28 </w:t>
      </w:r>
      <w:r w:rsidR="00D074AE" w:rsidRPr="00577043">
        <w:rPr>
          <w:rFonts w:eastAsia="Times New Roman"/>
          <w:lang w:eastAsia="da-DK"/>
        </w:rPr>
        <w:t xml:space="preserve">og nr. </w:t>
      </w:r>
      <w:r w:rsidR="00E53DC2">
        <w:rPr>
          <w:rFonts w:eastAsia="Times New Roman"/>
          <w:lang w:eastAsia="da-DK"/>
        </w:rPr>
        <w:t xml:space="preserve">30 </w:t>
      </w:r>
    </w:p>
    <w:p w14:paraId="5F0E176A" w14:textId="77777777" w:rsidR="00F83626" w:rsidRPr="00577043" w:rsidRDefault="00B32E2D" w:rsidP="00F83626">
      <w:pPr>
        <w:rPr>
          <w:rFonts w:eastAsia="Times New Roman" w:cs="Times New Roman"/>
          <w:color w:val="000000"/>
          <w:lang w:eastAsia="da-DK"/>
        </w:rPr>
      </w:pPr>
      <w:r w:rsidRPr="00577043">
        <w:rPr>
          <w:rFonts w:eastAsia="Times New Roman" w:cs="Times New Roman"/>
          <w:color w:val="000000"/>
          <w:lang w:eastAsia="da-DK"/>
        </w:rPr>
        <w:t xml:space="preserve">De foreslåede ændringer </w:t>
      </w:r>
      <w:r w:rsidR="00BD4238" w:rsidRPr="00577043">
        <w:rPr>
          <w:rFonts w:eastAsia="Times New Roman" w:cs="Times New Roman"/>
          <w:color w:val="000000"/>
          <w:lang w:eastAsia="da-DK"/>
        </w:rPr>
        <w:t>af komitéloven</w:t>
      </w:r>
      <w:r w:rsidR="0036460E" w:rsidRPr="00577043">
        <w:rPr>
          <w:rFonts w:eastAsia="Times New Roman" w:cs="Times New Roman"/>
          <w:color w:val="000000"/>
          <w:lang w:eastAsia="da-DK"/>
        </w:rPr>
        <w:t xml:space="preserve"> </w:t>
      </w:r>
      <w:r w:rsidRPr="00577043">
        <w:rPr>
          <w:rFonts w:eastAsia="Times New Roman" w:cs="Times New Roman"/>
          <w:color w:val="000000"/>
          <w:lang w:eastAsia="da-DK"/>
        </w:rPr>
        <w:t xml:space="preserve">er konsekvensændringer </w:t>
      </w:r>
      <w:r w:rsidR="0036460E" w:rsidRPr="00577043">
        <w:rPr>
          <w:rFonts w:eastAsia="Times New Roman" w:cs="Times New Roman"/>
          <w:color w:val="000000"/>
          <w:lang w:eastAsia="da-DK"/>
        </w:rPr>
        <w:t xml:space="preserve">som følge </w:t>
      </w:r>
      <w:r w:rsidR="00052E9B" w:rsidRPr="00577043">
        <w:rPr>
          <w:rFonts w:eastAsia="Times New Roman" w:cs="Times New Roman"/>
          <w:color w:val="000000"/>
          <w:lang w:eastAsia="da-DK"/>
        </w:rPr>
        <w:t>af dette lovforslag samt forordningen</w:t>
      </w:r>
      <w:r w:rsidR="0036460E" w:rsidRPr="00577043">
        <w:rPr>
          <w:rFonts w:eastAsia="Times New Roman" w:cs="Times New Roman"/>
          <w:color w:val="000000"/>
          <w:lang w:eastAsia="da-DK"/>
        </w:rPr>
        <w:t xml:space="preserve">. </w:t>
      </w:r>
    </w:p>
    <w:p w14:paraId="3AA519BF" w14:textId="77777777" w:rsidR="002D5B65" w:rsidRPr="00577043" w:rsidRDefault="002D5B65" w:rsidP="00F83626">
      <w:pPr>
        <w:rPr>
          <w:rFonts w:eastAsia="Times New Roman" w:cs="Times New Roman"/>
          <w:color w:val="000000"/>
          <w:lang w:eastAsia="da-DK"/>
        </w:rPr>
      </w:pPr>
    </w:p>
    <w:p w14:paraId="6AD97EDD" w14:textId="77777777" w:rsidR="00DE30DD" w:rsidRDefault="00DE30DD" w:rsidP="00A00DA3">
      <w:pPr>
        <w:pStyle w:val="Overskrift2"/>
        <w:jc w:val="left"/>
        <w:rPr>
          <w:rFonts w:eastAsia="Times New Roman"/>
          <w:lang w:eastAsia="da-DK"/>
        </w:rPr>
      </w:pPr>
      <w:r>
        <w:rPr>
          <w:rFonts w:eastAsia="Times New Roman"/>
          <w:lang w:eastAsia="da-DK"/>
        </w:rPr>
        <w:t>Til nr. 8. [Indhentning af elektroniske helbredsoplysninger]</w:t>
      </w:r>
    </w:p>
    <w:p w14:paraId="34E4D341" w14:textId="77777777" w:rsidR="00DE30DD" w:rsidRDefault="00DE30DD" w:rsidP="0072110B">
      <w:pPr>
        <w:rPr>
          <w:rFonts w:eastAsia="Times New Roman" w:cs="Times New Roman"/>
          <w:color w:val="000000"/>
          <w:lang w:eastAsia="da-DK"/>
        </w:rPr>
      </w:pPr>
      <w:r>
        <w:rPr>
          <w:rFonts w:eastAsia="Times New Roman" w:cs="Times New Roman"/>
          <w:color w:val="000000"/>
          <w:lang w:eastAsia="da-DK"/>
        </w:rPr>
        <w:t xml:space="preserve">Det foreslås med ændring af § 3, stk. 3, at en forsøgspersons informerede samtykke </w:t>
      </w:r>
      <w:r w:rsidR="009D0849">
        <w:rPr>
          <w:rFonts w:eastAsia="Times New Roman" w:cs="Times New Roman"/>
          <w:color w:val="000000"/>
          <w:lang w:eastAsia="da-DK"/>
        </w:rPr>
        <w:t>skal give sponsor og sponsors repræsentanter adgang til at indhente oplysninger i patientjournaler m</w:t>
      </w:r>
      <w:r w:rsidR="00094421">
        <w:rPr>
          <w:rFonts w:eastAsia="Times New Roman" w:cs="Times New Roman"/>
          <w:color w:val="000000"/>
          <w:lang w:eastAsia="da-DK"/>
        </w:rPr>
        <w:t>.</w:t>
      </w:r>
      <w:r w:rsidR="009D0849">
        <w:rPr>
          <w:rFonts w:eastAsia="Times New Roman" w:cs="Times New Roman"/>
          <w:color w:val="000000"/>
          <w:lang w:eastAsia="da-DK"/>
        </w:rPr>
        <w:t>v., herunder elektroniske journaler, med henblik på at se oplysninger</w:t>
      </w:r>
      <w:r w:rsidR="009D0849" w:rsidRPr="00577043">
        <w:rPr>
          <w:rFonts w:eastAsia="Times New Roman" w:cs="Times New Roman"/>
          <w:color w:val="000000"/>
          <w:lang w:eastAsia="da-DK"/>
        </w:rPr>
        <w:t xml:space="preserve"> om forsøgspersonens helbredsforhold, </w:t>
      </w:r>
      <w:r w:rsidR="00231009">
        <w:rPr>
          <w:rFonts w:eastAsia="Times New Roman" w:cs="Times New Roman"/>
          <w:color w:val="000000"/>
          <w:lang w:eastAsia="da-DK"/>
        </w:rPr>
        <w:t xml:space="preserve">, </w:t>
      </w:r>
      <w:r w:rsidR="0072110B">
        <w:rPr>
          <w:rFonts w:eastAsia="Times New Roman" w:cs="Times New Roman"/>
          <w:color w:val="000000"/>
          <w:lang w:eastAsia="da-DK"/>
        </w:rPr>
        <w:t>som er nødvendige som led i egenkontrol med forskningsprojektet, herunder kvalitetskontrol og monitorering, som sponsor</w:t>
      </w:r>
      <w:r w:rsidR="00485602">
        <w:rPr>
          <w:rFonts w:eastAsia="Times New Roman" w:cs="Times New Roman"/>
          <w:color w:val="000000"/>
          <w:lang w:eastAsia="da-DK"/>
        </w:rPr>
        <w:t>,</w:t>
      </w:r>
      <w:r w:rsidR="0072110B">
        <w:rPr>
          <w:rFonts w:eastAsia="Times New Roman" w:cs="Times New Roman"/>
          <w:color w:val="000000"/>
          <w:lang w:eastAsia="da-DK"/>
        </w:rPr>
        <w:t xml:space="preserve">monitor </w:t>
      </w:r>
      <w:r w:rsidR="00485602">
        <w:rPr>
          <w:rFonts w:eastAsia="Times New Roman" w:cs="Times New Roman"/>
          <w:color w:val="000000"/>
          <w:lang w:eastAsia="da-DK"/>
        </w:rPr>
        <w:t>eller</w:t>
      </w:r>
      <w:r w:rsidR="0072110B">
        <w:rPr>
          <w:rFonts w:eastAsia="Times New Roman" w:cs="Times New Roman"/>
          <w:color w:val="000000"/>
          <w:lang w:eastAsia="da-DK"/>
        </w:rPr>
        <w:t xml:space="preserve"> </w:t>
      </w:r>
      <w:r w:rsidR="00485602">
        <w:rPr>
          <w:rFonts w:eastAsia="Times New Roman" w:cs="Times New Roman"/>
          <w:color w:val="000000"/>
          <w:lang w:eastAsia="da-DK"/>
        </w:rPr>
        <w:t>den forsøgsansvarlige</w:t>
      </w:r>
      <w:r w:rsidR="0072110B">
        <w:rPr>
          <w:rFonts w:eastAsia="Times New Roman" w:cs="Times New Roman"/>
          <w:color w:val="000000"/>
          <w:lang w:eastAsia="da-DK"/>
        </w:rPr>
        <w:t xml:space="preserve"> er forpligtet til at udføre.</w:t>
      </w:r>
      <w:r w:rsidR="0072110B" w:rsidRPr="00A70DB1">
        <w:rPr>
          <w:rFonts w:eastAsia="Times New Roman" w:cs="Times New Roman"/>
          <w:color w:val="000000"/>
          <w:lang w:eastAsia="da-DK"/>
        </w:rPr>
        <w:t xml:space="preserve">              </w:t>
      </w:r>
      <w:r w:rsidR="0072110B" w:rsidRPr="008B61B1">
        <w:rPr>
          <w:rFonts w:eastAsia="Times New Roman" w:cs="Times New Roman"/>
          <w:b/>
          <w:color w:val="000000"/>
          <w:lang w:eastAsia="da-DK"/>
        </w:rPr>
        <w:t xml:space="preserve">                                                                                                                                                                                                                                                                                                                                                                                                                                                                                                                                                                                                                                                                                                                                                                                                                                                                                                                                                                                                                                                                                                                                                                                                                                                                                                                                                                                                                                                                                                     </w:t>
      </w:r>
    </w:p>
    <w:p w14:paraId="49893EE7" w14:textId="77777777" w:rsidR="00DE30DD" w:rsidRDefault="00DE30DD" w:rsidP="00DE30DD">
      <w:pPr>
        <w:rPr>
          <w:lang w:eastAsia="da-DK"/>
        </w:rPr>
      </w:pPr>
    </w:p>
    <w:p w14:paraId="313EF90A" w14:textId="77777777" w:rsidR="000B1F5B" w:rsidRDefault="000B1F5B" w:rsidP="000B1F5B">
      <w:pPr>
        <w:rPr>
          <w:lang w:eastAsia="da-DK"/>
        </w:rPr>
      </w:pPr>
      <w:r w:rsidRPr="00577043">
        <w:t>Forsøgsdeltageren skal oplyses om retsvirkningerne af samtykket i deltagerinformationen.</w:t>
      </w:r>
    </w:p>
    <w:p w14:paraId="57E4B54B" w14:textId="77777777" w:rsidR="000B1F5B" w:rsidRDefault="000B1F5B" w:rsidP="00DE30DD">
      <w:pPr>
        <w:rPr>
          <w:lang w:eastAsia="da-DK"/>
        </w:rPr>
      </w:pPr>
    </w:p>
    <w:p w14:paraId="7C0BF514" w14:textId="77777777" w:rsidR="00FD551A" w:rsidRDefault="00FD551A" w:rsidP="00DE30DD">
      <w:pPr>
        <w:rPr>
          <w:lang w:eastAsia="da-DK"/>
        </w:rPr>
      </w:pPr>
      <w:r>
        <w:rPr>
          <w:lang w:eastAsia="da-DK"/>
        </w:rPr>
        <w:t>Der henvises endvidere til bemærkningerne til § 14 a i dette lovforslag.</w:t>
      </w:r>
      <w:r w:rsidR="00231009">
        <w:rPr>
          <w:lang w:eastAsia="da-DK"/>
        </w:rPr>
        <w:t xml:space="preserve"> </w:t>
      </w:r>
    </w:p>
    <w:p w14:paraId="71C6039D" w14:textId="77777777" w:rsidR="009D0849" w:rsidRDefault="009D0849" w:rsidP="00DE30DD">
      <w:pPr>
        <w:rPr>
          <w:lang w:eastAsia="da-DK"/>
        </w:rPr>
      </w:pPr>
    </w:p>
    <w:p w14:paraId="548587E8" w14:textId="77777777" w:rsidR="009D0849" w:rsidRDefault="009D0849" w:rsidP="00DE30DD">
      <w:pPr>
        <w:rPr>
          <w:lang w:eastAsia="da-DK"/>
        </w:rPr>
      </w:pPr>
      <w:r>
        <w:rPr>
          <w:rFonts w:eastAsia="Times New Roman" w:cs="Times New Roman"/>
          <w:color w:val="000000"/>
          <w:lang w:eastAsia="da-DK"/>
        </w:rPr>
        <w:t xml:space="preserve">Samtykket </w:t>
      </w:r>
      <w:r w:rsidRPr="00577043">
        <w:rPr>
          <w:rFonts w:eastAsia="Times New Roman" w:cs="Times New Roman"/>
          <w:color w:val="000000"/>
          <w:lang w:eastAsia="da-DK"/>
        </w:rPr>
        <w:t xml:space="preserve">giver </w:t>
      </w:r>
      <w:r>
        <w:rPr>
          <w:rFonts w:eastAsia="Times New Roman" w:cs="Times New Roman"/>
          <w:color w:val="000000"/>
          <w:lang w:eastAsia="da-DK"/>
        </w:rPr>
        <w:t>sponsor og sponsors repræsentanter adgang til at indhente oplysninger i</w:t>
      </w:r>
      <w:r w:rsidRPr="00577043">
        <w:rPr>
          <w:rFonts w:eastAsia="Times New Roman" w:cs="Times New Roman"/>
          <w:color w:val="000000"/>
          <w:lang w:eastAsia="da-DK"/>
        </w:rPr>
        <w:t xml:space="preserve"> patientjournaler m</w:t>
      </w:r>
      <w:r w:rsidR="00094421">
        <w:rPr>
          <w:rFonts w:eastAsia="Times New Roman" w:cs="Times New Roman"/>
          <w:color w:val="000000"/>
          <w:lang w:eastAsia="da-DK"/>
        </w:rPr>
        <w:t>.</w:t>
      </w:r>
      <w:r w:rsidRPr="00577043">
        <w:rPr>
          <w:rFonts w:eastAsia="Times New Roman" w:cs="Times New Roman"/>
          <w:color w:val="000000"/>
          <w:lang w:eastAsia="da-DK"/>
        </w:rPr>
        <w:t>v.</w:t>
      </w:r>
      <w:r>
        <w:rPr>
          <w:rFonts w:eastAsia="Times New Roman" w:cs="Times New Roman"/>
          <w:color w:val="000000"/>
          <w:lang w:eastAsia="da-DK"/>
        </w:rPr>
        <w:t>, herunder elektroniske journaler, med henblik på at se oplysninger</w:t>
      </w:r>
      <w:r w:rsidRPr="00577043">
        <w:rPr>
          <w:rFonts w:eastAsia="Times New Roman" w:cs="Times New Roman"/>
          <w:color w:val="000000"/>
          <w:lang w:eastAsia="da-DK"/>
        </w:rPr>
        <w:t xml:space="preserve"> om forsøgspersonens helbredsforhold, som er nødvendige som led i egenkontrol med forskningsprojektet, herunder kvalitetskontrol og monitorering, som disse er forpligtet til at udføre. </w:t>
      </w:r>
      <w:r>
        <w:rPr>
          <w:rFonts w:eastAsia="Times New Roman" w:cs="Times New Roman"/>
          <w:color w:val="000000"/>
          <w:lang w:eastAsia="da-DK"/>
        </w:rPr>
        <w:t>”</w:t>
      </w:r>
    </w:p>
    <w:p w14:paraId="21BBC273" w14:textId="77777777" w:rsidR="00231009" w:rsidRDefault="00231009" w:rsidP="00DE30DD">
      <w:pPr>
        <w:rPr>
          <w:lang w:eastAsia="da-DK"/>
        </w:rPr>
      </w:pPr>
    </w:p>
    <w:p w14:paraId="3B1F7039" w14:textId="77777777" w:rsidR="00052E9B" w:rsidRPr="00577043" w:rsidRDefault="00052E9B" w:rsidP="00A00DA3">
      <w:pPr>
        <w:pStyle w:val="Overskrift2"/>
        <w:jc w:val="left"/>
        <w:rPr>
          <w:rFonts w:eastAsia="Times New Roman"/>
          <w:lang w:eastAsia="da-DK"/>
        </w:rPr>
      </w:pPr>
      <w:r w:rsidRPr="00577043">
        <w:rPr>
          <w:rFonts w:eastAsia="Times New Roman"/>
          <w:lang w:eastAsia="da-DK"/>
        </w:rPr>
        <w:t>Til nr.</w:t>
      </w:r>
      <w:r w:rsidR="003D4F50">
        <w:rPr>
          <w:rFonts w:eastAsia="Times New Roman"/>
          <w:lang w:eastAsia="da-DK"/>
        </w:rPr>
        <w:t xml:space="preserve"> 9 og </w:t>
      </w:r>
      <w:r w:rsidR="007007F6">
        <w:rPr>
          <w:rFonts w:eastAsia="Times New Roman"/>
          <w:lang w:eastAsia="da-DK"/>
        </w:rPr>
        <w:t>11</w:t>
      </w:r>
      <w:r w:rsidRPr="00577043">
        <w:rPr>
          <w:rFonts w:eastAsia="Times New Roman"/>
          <w:lang w:eastAsia="da-DK"/>
        </w:rPr>
        <w:t>.</w:t>
      </w:r>
      <w:r w:rsidR="0051137C" w:rsidRPr="00577043">
        <w:rPr>
          <w:rFonts w:eastAsia="Times New Roman"/>
          <w:lang w:eastAsia="da-DK"/>
        </w:rPr>
        <w:t xml:space="preserve"> [Mindreårige]</w:t>
      </w:r>
    </w:p>
    <w:p w14:paraId="40210842" w14:textId="77777777" w:rsidR="002D5B65" w:rsidRPr="00577043" w:rsidRDefault="00A00DA3" w:rsidP="00A00DA3">
      <w:pPr>
        <w:rPr>
          <w:rFonts w:eastAsia="Times New Roman" w:cs="Times New Roman"/>
          <w:color w:val="000000"/>
          <w:lang w:eastAsia="da-DK"/>
        </w:rPr>
      </w:pPr>
      <w:r w:rsidRPr="00577043">
        <w:rPr>
          <w:rFonts w:eastAsia="Times New Roman" w:cs="Times New Roman"/>
          <w:color w:val="000000"/>
          <w:lang w:eastAsia="da-DK"/>
        </w:rPr>
        <w:t xml:space="preserve">Det foreslås med </w:t>
      </w:r>
      <w:r w:rsidR="002D5B65" w:rsidRPr="00577043">
        <w:rPr>
          <w:rFonts w:eastAsia="Times New Roman" w:cs="Times New Roman"/>
          <w:color w:val="000000"/>
          <w:lang w:eastAsia="da-DK"/>
        </w:rPr>
        <w:t xml:space="preserve">ændring af </w:t>
      </w:r>
      <w:r w:rsidR="009F63AE" w:rsidRPr="00577043">
        <w:rPr>
          <w:rFonts w:eastAsia="Times New Roman" w:cs="Times New Roman"/>
          <w:color w:val="000000"/>
          <w:lang w:eastAsia="da-DK"/>
        </w:rPr>
        <w:t>§ 4,</w:t>
      </w:r>
      <w:r w:rsidRPr="00577043">
        <w:rPr>
          <w:rFonts w:eastAsia="Times New Roman" w:cs="Times New Roman"/>
          <w:color w:val="000000"/>
          <w:lang w:eastAsia="da-DK"/>
        </w:rPr>
        <w:t xml:space="preserve"> </w:t>
      </w:r>
      <w:r w:rsidR="002D5B65" w:rsidRPr="00577043">
        <w:rPr>
          <w:rFonts w:eastAsia="Times New Roman" w:cs="Times New Roman"/>
          <w:color w:val="000000"/>
          <w:lang w:eastAsia="da-DK"/>
        </w:rPr>
        <w:t xml:space="preserve">stk. 1, og § 4 stk. 3, </w:t>
      </w:r>
      <w:r w:rsidRPr="00577043">
        <w:rPr>
          <w:rFonts w:eastAsia="Times New Roman" w:cs="Times New Roman"/>
          <w:color w:val="000000"/>
          <w:lang w:eastAsia="da-DK"/>
        </w:rPr>
        <w:t xml:space="preserve">at et klinisk forsøg kun må gennemføres på en forsøgsperson, som er fyldt 15 år, men som ikke myndig, såfremt forsøgspersonen tillige med forældremyndighedens indehaver giver samtykke hertil fra såvel forældremyndighedens indehaver som fra den mindreårige er ikke et krav efter gældende regler.  </w:t>
      </w:r>
    </w:p>
    <w:p w14:paraId="4E46A5BD" w14:textId="77777777" w:rsidR="002D5B65" w:rsidRPr="00577043" w:rsidRDefault="002D5B65" w:rsidP="00A00DA3">
      <w:pPr>
        <w:rPr>
          <w:rFonts w:eastAsia="Times New Roman" w:cs="Times New Roman"/>
          <w:color w:val="000000"/>
          <w:lang w:eastAsia="da-DK"/>
        </w:rPr>
      </w:pPr>
    </w:p>
    <w:p w14:paraId="075134BB" w14:textId="77777777" w:rsidR="00A00DA3" w:rsidRPr="00577043" w:rsidRDefault="00A00DA3" w:rsidP="00A00DA3">
      <w:pPr>
        <w:rPr>
          <w:rFonts w:eastAsia="Times New Roman" w:cs="Times New Roman"/>
          <w:color w:val="000000"/>
          <w:lang w:eastAsia="da-DK"/>
        </w:rPr>
      </w:pPr>
      <w:r w:rsidRPr="00577043">
        <w:rPr>
          <w:rFonts w:eastAsia="Times New Roman" w:cs="Times New Roman"/>
          <w:color w:val="000000"/>
          <w:lang w:eastAsia="da-DK"/>
        </w:rPr>
        <w:t xml:space="preserve">Tilsvarende foreslås fastsat for </w:t>
      </w:r>
      <w:r w:rsidR="00792967" w:rsidRPr="00577043">
        <w:rPr>
          <w:rFonts w:eastAsia="Times New Roman" w:cs="Times New Roman"/>
          <w:color w:val="000000"/>
          <w:lang w:eastAsia="da-DK"/>
        </w:rPr>
        <w:t>kliniske forsøg med lægemidler, jf. den foreslåede § 3, stk. 2</w:t>
      </w:r>
      <w:r w:rsidRPr="00577043">
        <w:rPr>
          <w:rFonts w:eastAsia="Times New Roman" w:cs="Times New Roman"/>
          <w:color w:val="000000"/>
          <w:lang w:eastAsia="da-DK"/>
        </w:rPr>
        <w:t>.</w:t>
      </w:r>
    </w:p>
    <w:p w14:paraId="5160A115" w14:textId="77777777" w:rsidR="000B52A0" w:rsidRPr="00577043" w:rsidRDefault="000B52A0" w:rsidP="00A00DA3">
      <w:pPr>
        <w:rPr>
          <w:rFonts w:eastAsia="Times New Roman" w:cs="Times New Roman"/>
          <w:color w:val="000000"/>
          <w:lang w:eastAsia="da-DK"/>
        </w:rPr>
      </w:pPr>
    </w:p>
    <w:p w14:paraId="0310707C" w14:textId="77777777" w:rsidR="000B52A0" w:rsidRPr="00577043" w:rsidRDefault="000B52A0" w:rsidP="000B52A0">
      <w:pPr>
        <w:rPr>
          <w:rFonts w:eastAsia="Times New Roman" w:cs="Times New Roman"/>
          <w:iCs/>
          <w:color w:val="000000"/>
          <w:lang w:eastAsia="da-DK"/>
        </w:rPr>
      </w:pPr>
      <w:r w:rsidRPr="00577043">
        <w:rPr>
          <w:rFonts w:eastAsia="Times New Roman" w:cs="Times New Roman"/>
          <w:iCs/>
          <w:color w:val="000000"/>
          <w:lang w:eastAsia="da-DK"/>
        </w:rPr>
        <w:t>Der henvises i øvrigt til afsnit 2.1.5. i de almindelige bemærkninger.</w:t>
      </w:r>
    </w:p>
    <w:p w14:paraId="28B7EDF6" w14:textId="77777777" w:rsidR="000B52A0" w:rsidRPr="00577043" w:rsidRDefault="000B52A0" w:rsidP="00A00DA3">
      <w:pPr>
        <w:rPr>
          <w:rFonts w:eastAsia="Times New Roman" w:cs="Times New Roman"/>
          <w:color w:val="000000"/>
          <w:lang w:eastAsia="da-DK"/>
        </w:rPr>
      </w:pPr>
    </w:p>
    <w:p w14:paraId="3330B097" w14:textId="77777777" w:rsidR="002D5B65" w:rsidRPr="00577043" w:rsidRDefault="002D5B65" w:rsidP="002D5B65">
      <w:pPr>
        <w:pStyle w:val="Overskrift2"/>
        <w:jc w:val="left"/>
        <w:rPr>
          <w:rFonts w:eastAsia="Times New Roman"/>
          <w:lang w:eastAsia="da-DK"/>
        </w:rPr>
      </w:pPr>
      <w:r w:rsidRPr="00577043">
        <w:rPr>
          <w:rFonts w:eastAsia="Times New Roman"/>
          <w:lang w:eastAsia="da-DK"/>
        </w:rPr>
        <w:lastRenderedPageBreak/>
        <w:t xml:space="preserve">Til nr. </w:t>
      </w:r>
      <w:r w:rsidR="003D4F50">
        <w:rPr>
          <w:rFonts w:eastAsia="Times New Roman"/>
          <w:lang w:eastAsia="da-DK"/>
        </w:rPr>
        <w:t>10</w:t>
      </w:r>
      <w:r w:rsidRPr="00577043">
        <w:rPr>
          <w:rFonts w:eastAsia="Times New Roman"/>
          <w:lang w:eastAsia="da-DK"/>
        </w:rPr>
        <w:t xml:space="preserve"> [Inhabile]</w:t>
      </w:r>
    </w:p>
    <w:p w14:paraId="6DF36080" w14:textId="77777777" w:rsidR="002D5B65" w:rsidRPr="00577043" w:rsidRDefault="002D5B65" w:rsidP="002D5B65">
      <w:pPr>
        <w:rPr>
          <w:rFonts w:eastAsia="Times New Roman" w:cs="Times New Roman"/>
          <w:color w:val="000000"/>
          <w:lang w:eastAsia="da-DK"/>
        </w:rPr>
      </w:pPr>
      <w:r w:rsidRPr="00577043">
        <w:rPr>
          <w:rFonts w:eastAsia="Times New Roman" w:cs="Times New Roman"/>
          <w:color w:val="000000"/>
          <w:lang w:eastAsia="da-DK"/>
        </w:rPr>
        <w:t>Det foreslås med</w:t>
      </w:r>
      <w:r w:rsidRPr="00577043">
        <w:rPr>
          <w:rFonts w:eastAsia="Times New Roman" w:cs="Times New Roman"/>
          <w:b/>
          <w:color w:val="000000"/>
          <w:lang w:eastAsia="da-DK"/>
        </w:rPr>
        <w:t xml:space="preserve"> </w:t>
      </w:r>
      <w:r w:rsidRPr="00577043">
        <w:rPr>
          <w:rFonts w:eastAsia="Times New Roman" w:cs="Times New Roman"/>
          <w:color w:val="000000"/>
          <w:lang w:eastAsia="da-DK"/>
        </w:rPr>
        <w:t xml:space="preserve">§ 4, stk. 3, stedfortrædende samtykke på vegne af øvrige voksne inhabile forsøgspersoner skal gives af den nærmeste pårørende og en forsøgsværge. En forsøgsværge er en </w:t>
      </w:r>
      <w:r w:rsidR="003356E3" w:rsidRPr="00577043">
        <w:rPr>
          <w:rFonts w:eastAsia="Times New Roman" w:cs="Times New Roman"/>
          <w:color w:val="000000"/>
          <w:lang w:eastAsia="da-DK"/>
        </w:rPr>
        <w:t>læge, som er</w:t>
      </w:r>
      <w:r w:rsidRPr="00577043">
        <w:rPr>
          <w:rFonts w:eastAsia="Times New Roman" w:cs="Times New Roman"/>
          <w:color w:val="000000"/>
          <w:lang w:eastAsia="da-DK"/>
        </w:rPr>
        <w:t xml:space="preserve"> uafhængig af den forsøgsansvarliges interesse</w:t>
      </w:r>
      <w:r w:rsidR="008A66F3" w:rsidRPr="00577043">
        <w:rPr>
          <w:rFonts w:eastAsia="Times New Roman" w:cs="Times New Roman"/>
          <w:color w:val="000000"/>
          <w:lang w:eastAsia="da-DK"/>
        </w:rPr>
        <w:t>r og af interesser i forskningsprojektet i øvrigt</w:t>
      </w:r>
      <w:r w:rsidRPr="00577043">
        <w:rPr>
          <w:rFonts w:eastAsia="Times New Roman" w:cs="Times New Roman"/>
          <w:color w:val="000000"/>
          <w:lang w:eastAsia="da-DK"/>
        </w:rPr>
        <w:t>.</w:t>
      </w:r>
    </w:p>
    <w:p w14:paraId="2CCA11ED" w14:textId="77777777" w:rsidR="002D5B65" w:rsidRPr="00577043" w:rsidRDefault="002D5B65" w:rsidP="002D5B65">
      <w:pPr>
        <w:rPr>
          <w:rFonts w:eastAsia="Times New Roman" w:cs="Times New Roman"/>
          <w:color w:val="000000"/>
          <w:lang w:eastAsia="da-DK"/>
        </w:rPr>
      </w:pPr>
    </w:p>
    <w:p w14:paraId="5F1E7BA6" w14:textId="77777777" w:rsidR="002D5B65" w:rsidRPr="00577043" w:rsidRDefault="002D5B65" w:rsidP="002D5B65">
      <w:pPr>
        <w:rPr>
          <w:rFonts w:eastAsia="Times New Roman" w:cs="Times New Roman"/>
          <w:color w:val="000000"/>
          <w:lang w:eastAsia="da-DK"/>
        </w:rPr>
      </w:pPr>
      <w:r w:rsidRPr="00577043">
        <w:rPr>
          <w:rFonts w:eastAsia="Times New Roman" w:cs="Times New Roman"/>
          <w:color w:val="000000"/>
          <w:lang w:eastAsia="da-DK"/>
        </w:rPr>
        <w:t>Der henvises i øvrigt til afsnit 2.5.2.3. i de almindelige bemærkninger</w:t>
      </w:r>
    </w:p>
    <w:p w14:paraId="2F7A853E" w14:textId="77777777" w:rsidR="002D5B65" w:rsidRPr="00577043" w:rsidRDefault="002D5B65" w:rsidP="00A00DA3">
      <w:pPr>
        <w:rPr>
          <w:rFonts w:eastAsia="Times New Roman" w:cs="Times New Roman"/>
          <w:color w:val="000000"/>
          <w:lang w:eastAsia="da-DK"/>
        </w:rPr>
      </w:pPr>
    </w:p>
    <w:p w14:paraId="0A56719F" w14:textId="77777777" w:rsidR="0055533F" w:rsidRPr="00577043" w:rsidRDefault="00F83626" w:rsidP="0036460E">
      <w:pPr>
        <w:pStyle w:val="Overskrift2"/>
        <w:jc w:val="left"/>
        <w:rPr>
          <w:rFonts w:eastAsia="Times New Roman"/>
          <w:color w:val="000000"/>
          <w:lang w:eastAsia="da-DK"/>
        </w:rPr>
      </w:pPr>
      <w:r w:rsidRPr="00577043">
        <w:rPr>
          <w:rFonts w:eastAsia="Times New Roman"/>
          <w:lang w:eastAsia="da-DK"/>
        </w:rPr>
        <w:t>T</w:t>
      </w:r>
      <w:r w:rsidR="00894671" w:rsidRPr="00577043">
        <w:rPr>
          <w:rFonts w:eastAsia="Times New Roman"/>
          <w:lang w:eastAsia="da-DK"/>
        </w:rPr>
        <w:t xml:space="preserve">il nr. </w:t>
      </w:r>
      <w:r w:rsidR="007007F6">
        <w:rPr>
          <w:rFonts w:eastAsia="Times New Roman"/>
          <w:lang w:eastAsia="da-DK"/>
        </w:rPr>
        <w:t>29</w:t>
      </w:r>
      <w:r w:rsidR="0055533F" w:rsidRPr="00577043">
        <w:rPr>
          <w:rFonts w:eastAsia="Times New Roman"/>
          <w:lang w:eastAsia="da-DK"/>
        </w:rPr>
        <w:t>. [</w:t>
      </w:r>
      <w:r w:rsidR="00BC19AB" w:rsidRPr="00577043">
        <w:rPr>
          <w:rFonts w:eastAsia="Times New Roman"/>
          <w:lang w:eastAsia="da-DK"/>
        </w:rPr>
        <w:t>Årlig liste over bivirkninger</w:t>
      </w:r>
      <w:r w:rsidR="0055533F" w:rsidRPr="00577043">
        <w:rPr>
          <w:rFonts w:eastAsia="Times New Roman"/>
          <w:lang w:eastAsia="da-DK"/>
        </w:rPr>
        <w:t>]</w:t>
      </w:r>
    </w:p>
    <w:p w14:paraId="315188ED" w14:textId="77777777" w:rsidR="0055533F" w:rsidRPr="00577043" w:rsidRDefault="0055533F" w:rsidP="00CB2276">
      <w:pPr>
        <w:rPr>
          <w:rFonts w:eastAsia="Times New Roman" w:cs="Times New Roman"/>
          <w:color w:val="000000"/>
          <w:lang w:eastAsia="da-DK"/>
        </w:rPr>
      </w:pPr>
      <w:r w:rsidRPr="00577043">
        <w:rPr>
          <w:rFonts w:eastAsia="Times New Roman" w:cs="Times New Roman"/>
          <w:color w:val="000000"/>
          <w:lang w:eastAsia="da-DK"/>
        </w:rPr>
        <w:t>I komitélovens § 30, stk. 2, er det fastsat, at sponsor eller den forsøgsansvarlige én gang årligt i hele forsøgsperioden skal indsende en liste til den tilsynsførende komité over alle formodet alvorlige uventede bivirkninger, s</w:t>
      </w:r>
      <w:r w:rsidR="00823E7C" w:rsidRPr="00577043">
        <w:rPr>
          <w:rFonts w:eastAsia="Times New Roman" w:cs="Times New Roman"/>
          <w:color w:val="000000"/>
          <w:lang w:eastAsia="da-DK"/>
        </w:rPr>
        <w:t>om er opstået i forsøgsperioden</w:t>
      </w:r>
      <w:r w:rsidRPr="00577043">
        <w:rPr>
          <w:rFonts w:eastAsia="Times New Roman" w:cs="Times New Roman"/>
          <w:color w:val="000000"/>
          <w:lang w:eastAsia="da-DK"/>
        </w:rPr>
        <w:t xml:space="preserve"> og give oplysning om forsøgspersonernes sikkerhed. </w:t>
      </w:r>
    </w:p>
    <w:p w14:paraId="1FFEAD5D" w14:textId="77777777" w:rsidR="0055533F" w:rsidRPr="00577043" w:rsidRDefault="0055533F" w:rsidP="00CB2276">
      <w:pPr>
        <w:rPr>
          <w:rFonts w:eastAsia="Times New Roman" w:cs="Times New Roman"/>
          <w:color w:val="000000"/>
          <w:lang w:eastAsia="da-DK"/>
        </w:rPr>
      </w:pPr>
    </w:p>
    <w:p w14:paraId="084D8448" w14:textId="77777777" w:rsidR="0055533F" w:rsidRPr="00577043" w:rsidRDefault="0055533F" w:rsidP="00CB2276">
      <w:pPr>
        <w:rPr>
          <w:rFonts w:eastAsia="Times New Roman" w:cs="Times New Roman"/>
          <w:color w:val="000000"/>
          <w:lang w:eastAsia="da-DK"/>
        </w:rPr>
      </w:pPr>
      <w:r w:rsidRPr="00577043">
        <w:rPr>
          <w:rFonts w:eastAsia="Times New Roman" w:cs="Times New Roman"/>
          <w:color w:val="000000"/>
          <w:lang w:eastAsia="da-DK"/>
        </w:rPr>
        <w:t>Det fremgår af bemærkningerne til lovforslaget til komitéloven</w:t>
      </w:r>
      <w:r w:rsidR="003145A0" w:rsidRPr="00577043">
        <w:rPr>
          <w:rFonts w:eastAsia="Times New Roman" w:cs="Times New Roman"/>
          <w:color w:val="000000"/>
          <w:lang w:eastAsia="da-DK"/>
        </w:rPr>
        <w:t xml:space="preserve"> fremsat den 17. marts 2011</w:t>
      </w:r>
      <w:r w:rsidR="00BD4D97">
        <w:rPr>
          <w:rFonts w:eastAsia="Times New Roman" w:cs="Times New Roman"/>
          <w:color w:val="000000"/>
          <w:lang w:eastAsia="da-DK"/>
        </w:rPr>
        <w:t xml:space="preserve"> </w:t>
      </w:r>
      <w:r w:rsidRPr="00577043">
        <w:rPr>
          <w:rFonts w:eastAsia="Times New Roman" w:cs="Times New Roman"/>
          <w:color w:val="000000"/>
          <w:lang w:eastAsia="da-DK"/>
        </w:rPr>
        <w:t>(lovforslag nr. L 169), at</w:t>
      </w:r>
      <w:r w:rsidR="00052671" w:rsidRPr="00577043">
        <w:rPr>
          <w:rFonts w:eastAsia="Times New Roman" w:cs="Times New Roman"/>
          <w:color w:val="000000"/>
          <w:lang w:eastAsia="da-DK"/>
        </w:rPr>
        <w:t xml:space="preserve"> i medfør af den foreslåede </w:t>
      </w:r>
      <w:r w:rsidR="001F341A" w:rsidRPr="00577043">
        <w:rPr>
          <w:rFonts w:eastAsia="Times New Roman" w:cs="Times New Roman"/>
          <w:color w:val="000000"/>
          <w:lang w:eastAsia="da-DK"/>
        </w:rPr>
        <w:t>§ 30, stk. 2, skal sponsor indsende en liste over alle alvorlige ”ventede og uventede</w:t>
      </w:r>
      <w:r w:rsidRPr="00577043">
        <w:rPr>
          <w:rFonts w:eastAsia="Times New Roman" w:cs="Times New Roman"/>
          <w:color w:val="000000"/>
          <w:lang w:eastAsia="da-DK"/>
        </w:rPr>
        <w:t xml:space="preserve"> bivirkninger</w:t>
      </w:r>
      <w:r w:rsidR="001F341A" w:rsidRPr="00577043">
        <w:rPr>
          <w:rFonts w:eastAsia="Times New Roman" w:cs="Times New Roman"/>
          <w:color w:val="000000"/>
          <w:lang w:eastAsia="da-DK"/>
        </w:rPr>
        <w:t>”</w:t>
      </w:r>
      <w:r w:rsidRPr="00577043">
        <w:rPr>
          <w:rFonts w:eastAsia="Times New Roman" w:cs="Times New Roman"/>
          <w:color w:val="000000"/>
          <w:lang w:eastAsia="da-DK"/>
        </w:rPr>
        <w:t>.</w:t>
      </w:r>
      <w:r w:rsidR="001F341A" w:rsidRPr="00577043">
        <w:rPr>
          <w:rFonts w:eastAsia="Times New Roman" w:cs="Times New Roman"/>
          <w:color w:val="000000"/>
          <w:lang w:eastAsia="da-DK"/>
        </w:rPr>
        <w:t xml:space="preserve"> Praksis er i overensstemmelse med bemærkningerne, at forskere indsender en liste over alle alvorlige bivirkninger – såvel de ventede som uventede</w:t>
      </w:r>
      <w:r w:rsidR="00177A99" w:rsidRPr="00577043">
        <w:rPr>
          <w:rFonts w:eastAsia="Times New Roman" w:cs="Times New Roman"/>
          <w:color w:val="000000"/>
          <w:lang w:eastAsia="da-DK"/>
        </w:rPr>
        <w:t xml:space="preserve"> i </w:t>
      </w:r>
      <w:r w:rsidR="00052671" w:rsidRPr="00577043">
        <w:rPr>
          <w:rFonts w:eastAsia="Times New Roman" w:cs="Times New Roman"/>
          <w:color w:val="000000"/>
          <w:lang w:eastAsia="da-DK"/>
        </w:rPr>
        <w:t xml:space="preserve">overensstemmelse med </w:t>
      </w:r>
      <w:r w:rsidR="00177A99" w:rsidRPr="00577043">
        <w:rPr>
          <w:rFonts w:eastAsia="Times New Roman" w:cs="Times New Roman"/>
          <w:color w:val="000000"/>
          <w:lang w:eastAsia="da-DK"/>
        </w:rPr>
        <w:t>DNVK’s vejledning</w:t>
      </w:r>
      <w:r w:rsidR="001F341A" w:rsidRPr="00577043">
        <w:rPr>
          <w:rFonts w:eastAsia="Times New Roman" w:cs="Times New Roman"/>
          <w:color w:val="000000"/>
          <w:lang w:eastAsia="da-DK"/>
        </w:rPr>
        <w:t xml:space="preserve">. </w:t>
      </w:r>
    </w:p>
    <w:p w14:paraId="20D87A2D" w14:textId="77777777" w:rsidR="00177A99" w:rsidRPr="00577043" w:rsidRDefault="00177A99" w:rsidP="00CB2276">
      <w:pPr>
        <w:rPr>
          <w:rFonts w:eastAsia="Times New Roman" w:cs="Times New Roman"/>
          <w:color w:val="000000"/>
          <w:lang w:eastAsia="da-DK"/>
        </w:rPr>
      </w:pPr>
    </w:p>
    <w:p w14:paraId="2BD3D6C8" w14:textId="77777777" w:rsidR="002F08CC" w:rsidRPr="00577043" w:rsidRDefault="00177A99" w:rsidP="00CB2276">
      <w:pPr>
        <w:rPr>
          <w:rFonts w:eastAsia="Times New Roman" w:cs="Times New Roman"/>
          <w:color w:val="000000"/>
          <w:lang w:eastAsia="da-DK"/>
        </w:rPr>
      </w:pPr>
      <w:r w:rsidRPr="00577043">
        <w:rPr>
          <w:rFonts w:eastAsia="Times New Roman" w:cs="Times New Roman"/>
          <w:color w:val="000000"/>
          <w:lang w:eastAsia="da-DK"/>
        </w:rPr>
        <w:t>Det foreslås på den baggrund, at det præciseres i komitélovens § 30, stk. 2, at sponsor eller den forsøgsansvarlige én gang årligt i hele forsøgsperioden skal indsende en liste til den tilsynsførende komité over alle formodet alvorlige bivirkninger, som er opstået i forsøgsperioden, og give oplysning om forsøgs</w:t>
      </w:r>
      <w:r w:rsidR="000B4682" w:rsidRPr="00577043">
        <w:rPr>
          <w:rFonts w:eastAsia="Times New Roman" w:cs="Times New Roman"/>
          <w:color w:val="000000"/>
          <w:lang w:eastAsia="da-DK"/>
        </w:rPr>
        <w:t>personernes sikkerhed. Dermed præciseres det, at</w:t>
      </w:r>
      <w:r w:rsidRPr="00577043">
        <w:rPr>
          <w:rFonts w:eastAsia="Times New Roman" w:cs="Times New Roman"/>
          <w:color w:val="000000"/>
          <w:lang w:eastAsia="da-DK"/>
        </w:rPr>
        <w:t xml:space="preserve"> bestemmelsen ikke </w:t>
      </w:r>
      <w:r w:rsidR="000B4682" w:rsidRPr="00577043">
        <w:rPr>
          <w:rFonts w:eastAsia="Times New Roman" w:cs="Times New Roman"/>
          <w:color w:val="000000"/>
          <w:lang w:eastAsia="da-DK"/>
        </w:rPr>
        <w:t>er</w:t>
      </w:r>
      <w:r w:rsidRPr="00577043">
        <w:rPr>
          <w:rFonts w:eastAsia="Times New Roman" w:cs="Times New Roman"/>
          <w:color w:val="000000"/>
          <w:lang w:eastAsia="da-DK"/>
        </w:rPr>
        <w:t xml:space="preserve"> afgrænset til alene at omfatte de uventede bivirkninger, men omfatter såvel de ventede som de uventede</w:t>
      </w:r>
      <w:r w:rsidR="000E5F57" w:rsidRPr="00577043">
        <w:rPr>
          <w:rFonts w:eastAsia="Times New Roman" w:cs="Times New Roman"/>
          <w:color w:val="000000"/>
          <w:lang w:eastAsia="da-DK"/>
        </w:rPr>
        <w:t>, i overensstemmelse med gældende praksis</w:t>
      </w:r>
      <w:r w:rsidRPr="00577043">
        <w:rPr>
          <w:rFonts w:eastAsia="Times New Roman" w:cs="Times New Roman"/>
          <w:color w:val="000000"/>
          <w:lang w:eastAsia="da-DK"/>
        </w:rPr>
        <w:t xml:space="preserve">. </w:t>
      </w:r>
    </w:p>
    <w:p w14:paraId="78E3869A" w14:textId="77777777" w:rsidR="00E53DC2" w:rsidRPr="00577043" w:rsidRDefault="00E53DC2" w:rsidP="00CB2276">
      <w:pPr>
        <w:rPr>
          <w:rFonts w:eastAsia="Times New Roman" w:cs="Times New Roman"/>
          <w:color w:val="000000"/>
          <w:lang w:eastAsia="da-DK"/>
        </w:rPr>
      </w:pPr>
    </w:p>
    <w:p w14:paraId="4BAFBAE1" w14:textId="77777777" w:rsidR="00062810" w:rsidRPr="00577043" w:rsidRDefault="00062810" w:rsidP="00062810">
      <w:pPr>
        <w:pStyle w:val="Overskrift2"/>
        <w:jc w:val="left"/>
        <w:rPr>
          <w:rFonts w:eastAsia="Times New Roman"/>
          <w:b w:val="0"/>
          <w:lang w:eastAsia="da-DK"/>
        </w:rPr>
      </w:pPr>
      <w:r w:rsidRPr="00577043">
        <w:rPr>
          <w:rFonts w:eastAsia="Times New Roman"/>
          <w:lang w:eastAsia="da-DK"/>
        </w:rPr>
        <w:t xml:space="preserve">Til nr. </w:t>
      </w:r>
      <w:r w:rsidR="00E53DC2">
        <w:rPr>
          <w:rFonts w:eastAsia="Times New Roman"/>
          <w:lang w:eastAsia="da-DK"/>
        </w:rPr>
        <w:t>31</w:t>
      </w:r>
      <w:r w:rsidRPr="00577043">
        <w:rPr>
          <w:rFonts w:eastAsia="Times New Roman"/>
          <w:lang w:eastAsia="da-DK"/>
        </w:rPr>
        <w:t>. [DNVK koordinerer]</w:t>
      </w:r>
    </w:p>
    <w:p w14:paraId="2FA12A2C" w14:textId="77777777" w:rsidR="00D074AE" w:rsidRPr="00577043" w:rsidRDefault="00D074AE" w:rsidP="00CB2276">
      <w:pPr>
        <w:rPr>
          <w:rFonts w:eastAsia="Times New Roman" w:cs="Times New Roman"/>
          <w:color w:val="000000"/>
          <w:lang w:eastAsia="da-DK"/>
        </w:rPr>
      </w:pPr>
      <w:r w:rsidRPr="00577043">
        <w:rPr>
          <w:rFonts w:eastAsia="Times New Roman" w:cs="Times New Roman"/>
          <w:color w:val="000000"/>
          <w:lang w:eastAsia="da-DK"/>
        </w:rPr>
        <w:t xml:space="preserve">Den nationale komité koordinerer arbejdet i de regionale komiteer, fastsætter vejledende retningslinjer og udtaler sig om spørgsmål af principiel karakter, der ikke er knyttet til godkendelsen af et konkret forskningsprojekt, jf. komitélovens § 32, stk. 1. </w:t>
      </w:r>
    </w:p>
    <w:p w14:paraId="54DBAB0E" w14:textId="77777777" w:rsidR="00D074AE" w:rsidRPr="00577043" w:rsidRDefault="00D074AE" w:rsidP="00CB2276">
      <w:pPr>
        <w:rPr>
          <w:rFonts w:eastAsia="Times New Roman" w:cs="Times New Roman"/>
          <w:color w:val="000000"/>
          <w:lang w:eastAsia="da-DK"/>
        </w:rPr>
      </w:pPr>
    </w:p>
    <w:p w14:paraId="0A3E2675" w14:textId="77777777" w:rsidR="00D074AE" w:rsidRPr="00577043" w:rsidRDefault="00D074AE" w:rsidP="00CB2276">
      <w:pPr>
        <w:rPr>
          <w:rFonts w:eastAsia="Times New Roman" w:cs="Times New Roman"/>
          <w:color w:val="000000"/>
          <w:lang w:eastAsia="da-DK"/>
        </w:rPr>
      </w:pPr>
      <w:r w:rsidRPr="00577043">
        <w:rPr>
          <w:rFonts w:eastAsia="Times New Roman" w:cs="Times New Roman"/>
          <w:color w:val="000000"/>
          <w:lang w:eastAsia="da-DK"/>
        </w:rPr>
        <w:t>Det foreslås med ændringen af § 32, stk. 1, at disse opgaver også omfatter de videnskabsetiske lægemiddelkomiteer.</w:t>
      </w:r>
      <w:r w:rsidR="00E94467" w:rsidRPr="00577043">
        <w:rPr>
          <w:rFonts w:eastAsia="Times New Roman" w:cs="Times New Roman"/>
          <w:color w:val="000000"/>
          <w:lang w:eastAsia="da-DK"/>
        </w:rPr>
        <w:t xml:space="preserve"> </w:t>
      </w:r>
    </w:p>
    <w:p w14:paraId="0D561F56" w14:textId="77777777" w:rsidR="00D074AE" w:rsidRPr="00577043" w:rsidRDefault="00D074AE" w:rsidP="00CB2276">
      <w:pPr>
        <w:rPr>
          <w:rFonts w:eastAsia="Times New Roman" w:cs="Times New Roman"/>
          <w:color w:val="000000"/>
          <w:lang w:eastAsia="da-DK"/>
        </w:rPr>
      </w:pPr>
    </w:p>
    <w:p w14:paraId="3BFCEF00" w14:textId="77777777" w:rsidR="00D074AE" w:rsidRPr="00577043" w:rsidRDefault="00D074AE" w:rsidP="00D074AE">
      <w:pPr>
        <w:pStyle w:val="Overskrift2"/>
        <w:jc w:val="left"/>
      </w:pPr>
      <w:r w:rsidRPr="00577043">
        <w:t xml:space="preserve">Til nr. </w:t>
      </w:r>
      <w:r w:rsidR="00E53DC2">
        <w:t>32</w:t>
      </w:r>
      <w:r w:rsidR="00AE476A" w:rsidRPr="00577043">
        <w:t>.</w:t>
      </w:r>
      <w:r w:rsidRPr="00577043">
        <w:t xml:space="preserve"> [Årsrapport]</w:t>
      </w:r>
    </w:p>
    <w:p w14:paraId="716994C9" w14:textId="77777777" w:rsidR="00D074AE" w:rsidRPr="00577043" w:rsidRDefault="00D074AE" w:rsidP="00D074AE">
      <w:r w:rsidRPr="00577043">
        <w:t xml:space="preserve">De regionale komiteer og den nationale komité afgiver en samlet årsberetning, der indeholder en redegørelse for komiteernes virksomhed og praksis i det forløbne år, jf. </w:t>
      </w:r>
      <w:r w:rsidRPr="00C510B3">
        <w:rPr>
          <w:i/>
        </w:rPr>
        <w:t>§ 34, stk. 1</w:t>
      </w:r>
      <w:r w:rsidRPr="00577043">
        <w:t>, i komitéloven.</w:t>
      </w:r>
    </w:p>
    <w:p w14:paraId="7A7DCF4A" w14:textId="77777777" w:rsidR="00D074AE" w:rsidRPr="00577043" w:rsidRDefault="00D074AE" w:rsidP="00D074AE"/>
    <w:p w14:paraId="478635DB" w14:textId="77777777" w:rsidR="00D074AE" w:rsidRPr="00577043" w:rsidRDefault="00D074AE" w:rsidP="00D074AE">
      <w:r w:rsidRPr="00577043">
        <w:t xml:space="preserve">Det nærmere indhold i årsrapporten er fastsat i komitélovens </w:t>
      </w:r>
      <w:r w:rsidRPr="00C510B3">
        <w:rPr>
          <w:i/>
        </w:rPr>
        <w:t>§ 34, stk. 2</w:t>
      </w:r>
      <w:r w:rsidRPr="00577043">
        <w:t>. Årsrapporten skal således omfatte en beskrivelse af de generelle udviklingstendenser inden for komitésystemets virke, generelle udviklingstendenser inden for den sundhedsvidenskabelige forskning, væsentlige videnskabsetiske problemer drøftet i komiteerne og begrundelserne for udfaldet af væsentlige sager.</w:t>
      </w:r>
    </w:p>
    <w:p w14:paraId="02CCE2A9" w14:textId="77777777" w:rsidR="00D074AE" w:rsidRPr="00577043" w:rsidRDefault="00D074AE" w:rsidP="00D074AE"/>
    <w:p w14:paraId="0920278B" w14:textId="77777777" w:rsidR="00D074AE" w:rsidRPr="00577043" w:rsidRDefault="00D074AE" w:rsidP="00D074AE">
      <w:r w:rsidRPr="00577043">
        <w:t>Det foreslås med ændringen af § 34, stk. 1, at de videnskabsetiske lægemiddelkomiteer indgiver en sådan årsberetning sammen med den nationale komité.</w:t>
      </w:r>
    </w:p>
    <w:p w14:paraId="3199B12D" w14:textId="77777777" w:rsidR="00653ACE" w:rsidRPr="00577043" w:rsidRDefault="00653ACE" w:rsidP="00D074AE"/>
    <w:p w14:paraId="702EE639" w14:textId="77777777" w:rsidR="00505B4F" w:rsidRPr="00577043" w:rsidRDefault="0071242E" w:rsidP="0066204C">
      <w:pPr>
        <w:pStyle w:val="Overskrift2"/>
        <w:jc w:val="left"/>
        <w:rPr>
          <w:rFonts w:eastAsia="Times New Roman"/>
          <w:b w:val="0"/>
          <w:lang w:eastAsia="da-DK"/>
        </w:rPr>
      </w:pPr>
      <w:r w:rsidRPr="00577043">
        <w:rPr>
          <w:rFonts w:eastAsia="Times New Roman"/>
          <w:lang w:eastAsia="da-DK"/>
        </w:rPr>
        <w:t xml:space="preserve">Til nr. </w:t>
      </w:r>
      <w:r w:rsidR="00E53DC2">
        <w:rPr>
          <w:rFonts w:eastAsia="Times New Roman"/>
          <w:lang w:eastAsia="da-DK"/>
        </w:rPr>
        <w:t>33</w:t>
      </w:r>
      <w:r w:rsidR="00894671" w:rsidRPr="00577043">
        <w:rPr>
          <w:rFonts w:eastAsia="Times New Roman"/>
          <w:lang w:eastAsia="da-DK"/>
        </w:rPr>
        <w:t>.</w:t>
      </w:r>
      <w:r w:rsidR="00505B4F" w:rsidRPr="00577043">
        <w:rPr>
          <w:rFonts w:eastAsia="Times New Roman"/>
          <w:b w:val="0"/>
          <w:lang w:eastAsia="da-DK"/>
        </w:rPr>
        <w:t xml:space="preserve"> [</w:t>
      </w:r>
      <w:r w:rsidR="00505B4F" w:rsidRPr="00577043">
        <w:rPr>
          <w:rFonts w:eastAsia="Times New Roman"/>
          <w:lang w:eastAsia="da-DK"/>
        </w:rPr>
        <w:t>Straf hvis forsøgspersoner ikke informeres</w:t>
      </w:r>
      <w:r w:rsidR="00505B4F" w:rsidRPr="00577043">
        <w:rPr>
          <w:rFonts w:eastAsia="Times New Roman"/>
          <w:b w:val="0"/>
          <w:lang w:eastAsia="da-DK"/>
        </w:rPr>
        <w:t>]</w:t>
      </w:r>
    </w:p>
    <w:p w14:paraId="52431653" w14:textId="77777777" w:rsidR="00505B4F" w:rsidRPr="00577043" w:rsidRDefault="00505B4F" w:rsidP="00505B4F">
      <w:pPr>
        <w:rPr>
          <w:rFonts w:eastAsia="Times New Roman" w:cs="Times New Roman"/>
          <w:color w:val="000000"/>
          <w:lang w:eastAsia="da-DK"/>
        </w:rPr>
      </w:pPr>
      <w:r w:rsidRPr="00577043">
        <w:rPr>
          <w:rFonts w:eastAsia="Times New Roman" w:cs="Times New Roman"/>
          <w:color w:val="000000"/>
          <w:lang w:eastAsia="da-DK"/>
        </w:rPr>
        <w:t xml:space="preserve">Med § </w:t>
      </w:r>
      <w:r w:rsidR="002D2EB3" w:rsidRPr="00577043">
        <w:rPr>
          <w:rFonts w:eastAsia="Times New Roman" w:cs="Times New Roman"/>
          <w:color w:val="000000"/>
          <w:lang w:eastAsia="da-DK"/>
        </w:rPr>
        <w:t>41, stk. 1, nr. 6</w:t>
      </w:r>
      <w:r w:rsidR="00EE259E" w:rsidRPr="00577043">
        <w:rPr>
          <w:rFonts w:eastAsia="Times New Roman" w:cs="Times New Roman"/>
          <w:color w:val="000000"/>
          <w:lang w:eastAsia="da-DK"/>
        </w:rPr>
        <w:t>,</w:t>
      </w:r>
      <w:r w:rsidRPr="00577043">
        <w:rPr>
          <w:rFonts w:eastAsia="Times New Roman" w:cs="Times New Roman"/>
          <w:color w:val="000000"/>
          <w:lang w:eastAsia="da-DK"/>
        </w:rPr>
        <w:t xml:space="preserve"> foreslås det, at en sponsor, der undlader at efterkomme et påbud om at informere forsøgspersoner i medfør af den foreslåede § 42, stk. 2, kan ifalde</w:t>
      </w:r>
      <w:r w:rsidR="002D2EB3" w:rsidRPr="00577043">
        <w:rPr>
          <w:rFonts w:eastAsia="Times New Roman" w:cs="Times New Roman"/>
          <w:color w:val="000000"/>
          <w:lang w:eastAsia="da-DK"/>
        </w:rPr>
        <w:t xml:space="preserve"> straf</w:t>
      </w:r>
      <w:r w:rsidRPr="00577043">
        <w:rPr>
          <w:rFonts w:eastAsia="Times New Roman" w:cs="Times New Roman"/>
          <w:color w:val="000000"/>
          <w:lang w:eastAsia="da-DK"/>
        </w:rPr>
        <w:t>.</w:t>
      </w:r>
      <w:r w:rsidR="003071D9" w:rsidRPr="00577043">
        <w:rPr>
          <w:rFonts w:eastAsia="Times New Roman" w:cs="Times New Roman"/>
          <w:color w:val="000000"/>
          <w:lang w:eastAsia="da-DK"/>
        </w:rPr>
        <w:t xml:space="preserve"> Dette svarer til den foreslåede § 27, stk. 1, nr. 7</w:t>
      </w:r>
      <w:r w:rsidR="00EE259E" w:rsidRPr="00577043">
        <w:rPr>
          <w:rFonts w:eastAsia="Times New Roman" w:cs="Times New Roman"/>
          <w:color w:val="000000"/>
          <w:lang w:eastAsia="da-DK"/>
        </w:rPr>
        <w:t>, i forslag til lov om kliniske forsøg med lægemidler.</w:t>
      </w:r>
      <w:r w:rsidR="007A7B1B" w:rsidRPr="00577043">
        <w:rPr>
          <w:rFonts w:eastAsia="Times New Roman" w:cs="Times New Roman"/>
          <w:color w:val="000000"/>
          <w:lang w:eastAsia="da-DK"/>
        </w:rPr>
        <w:t xml:space="preserve"> Der henvises til bemærkningerne til § 27, stk. 1, nr. 7.</w:t>
      </w:r>
    </w:p>
    <w:p w14:paraId="72BC48E3" w14:textId="77777777" w:rsidR="00505B4F" w:rsidRPr="00577043" w:rsidRDefault="00505B4F" w:rsidP="00505B4F">
      <w:pPr>
        <w:rPr>
          <w:rFonts w:eastAsia="Times New Roman" w:cs="Times New Roman"/>
          <w:color w:val="000000"/>
          <w:lang w:eastAsia="da-DK"/>
        </w:rPr>
      </w:pPr>
    </w:p>
    <w:p w14:paraId="3C452B65" w14:textId="77777777" w:rsidR="00F43EEA" w:rsidRPr="00577043" w:rsidRDefault="00505B4F" w:rsidP="00505B4F">
      <w:pPr>
        <w:rPr>
          <w:rFonts w:eastAsia="Times New Roman" w:cs="Times New Roman"/>
          <w:color w:val="000000"/>
          <w:lang w:eastAsia="da-DK"/>
        </w:rPr>
      </w:pPr>
      <w:r w:rsidRPr="00577043">
        <w:rPr>
          <w:rFonts w:eastAsia="Times New Roman" w:cs="Times New Roman"/>
          <w:color w:val="000000"/>
          <w:lang w:eastAsia="da-DK"/>
        </w:rPr>
        <w:lastRenderedPageBreak/>
        <w:t>Det følger af komitélovens § 41, stk. 1, nr. 1-5, at medmindre højere straf er forskyldt efter den øvrige lovgivning</w:t>
      </w:r>
      <w:r w:rsidR="00F24C22" w:rsidRPr="00577043">
        <w:rPr>
          <w:rFonts w:eastAsia="Times New Roman" w:cs="Times New Roman"/>
          <w:color w:val="000000"/>
          <w:lang w:eastAsia="da-DK"/>
        </w:rPr>
        <w:t xml:space="preserve">, straffes med bøde eller fængsel indtil 4 måneder den, der overtræder en række af lovens bestemmelser. </w:t>
      </w:r>
    </w:p>
    <w:p w14:paraId="449E9024" w14:textId="77777777" w:rsidR="008B01A8" w:rsidRPr="00577043" w:rsidRDefault="008B01A8" w:rsidP="00505B4F">
      <w:pPr>
        <w:rPr>
          <w:rFonts w:eastAsia="Times New Roman" w:cs="Times New Roman"/>
          <w:color w:val="000000"/>
          <w:lang w:eastAsia="da-DK"/>
        </w:rPr>
      </w:pPr>
    </w:p>
    <w:p w14:paraId="120C95BD" w14:textId="77777777" w:rsidR="00F43EEA" w:rsidRPr="00577043" w:rsidRDefault="00D946F3" w:rsidP="00505B4F">
      <w:pPr>
        <w:rPr>
          <w:rFonts w:eastAsia="Times New Roman" w:cs="Times New Roman"/>
          <w:color w:val="000000"/>
          <w:lang w:eastAsia="da-DK"/>
        </w:rPr>
      </w:pPr>
      <w:r w:rsidRPr="00577043">
        <w:rPr>
          <w:rFonts w:eastAsia="Times New Roman" w:cs="Times New Roman"/>
          <w:color w:val="000000"/>
          <w:lang w:eastAsia="da-DK"/>
        </w:rPr>
        <w:t xml:space="preserve">Ifølge komitélovens § 41, stk. 2, kan der i forskrifter, der udstedes i medfør af loven, fastsættes straf i form af bøde for overtrædelse af bestemmelser i forskriften. </w:t>
      </w:r>
      <w:r w:rsidR="00EB0B19" w:rsidRPr="00577043">
        <w:rPr>
          <w:rFonts w:eastAsia="Times New Roman" w:cs="Times New Roman"/>
          <w:color w:val="000000"/>
          <w:lang w:eastAsia="da-DK"/>
        </w:rPr>
        <w:t>M</w:t>
      </w:r>
      <w:r w:rsidRPr="00577043">
        <w:rPr>
          <w:rFonts w:eastAsia="Times New Roman" w:cs="Times New Roman"/>
          <w:color w:val="000000"/>
          <w:lang w:eastAsia="da-DK"/>
        </w:rPr>
        <w:t xml:space="preserve">ed hjemmel </w:t>
      </w:r>
      <w:r w:rsidR="00EB0B19" w:rsidRPr="00577043">
        <w:rPr>
          <w:rFonts w:eastAsia="Times New Roman" w:cs="Times New Roman"/>
          <w:color w:val="000000"/>
          <w:lang w:eastAsia="da-DK"/>
        </w:rPr>
        <w:t xml:space="preserve">heri er det </w:t>
      </w:r>
      <w:r w:rsidRPr="00577043">
        <w:rPr>
          <w:rFonts w:eastAsia="Times New Roman" w:cs="Times New Roman"/>
          <w:color w:val="000000"/>
          <w:lang w:eastAsia="da-DK"/>
        </w:rPr>
        <w:t xml:space="preserve">fastsat i § 18 i bekendtgørelse nr. 1149 af 30. september 2013 om information og samtykke til deltagelse i sundhedsvidenskabelige forskningsprojekter samt om anmeldelse af og tilsyn med sundhedsvidenskabelige forskningsprojekter, at medmindre højere straf er fastsat i anden lovgivning, straffes den, som iværksætter et forskningsprojekt i strid med §§ 6-16 i bekendtgørelsen, med bøde. </w:t>
      </w:r>
      <w:r w:rsidR="003A3228" w:rsidRPr="00577043">
        <w:rPr>
          <w:rFonts w:eastAsia="Times New Roman" w:cs="Times New Roman"/>
          <w:color w:val="000000"/>
          <w:lang w:eastAsia="da-DK"/>
        </w:rPr>
        <w:t>Tilsvarende bestemmelse vil blive fastsat i en bekendtgørelse med hjemmel i den foreslåede § 41, stk. 1, nr. 6.</w:t>
      </w:r>
    </w:p>
    <w:p w14:paraId="07D93347" w14:textId="77777777" w:rsidR="00505B4F" w:rsidRPr="00577043" w:rsidRDefault="00505B4F" w:rsidP="00CB2276">
      <w:pPr>
        <w:rPr>
          <w:rFonts w:eastAsia="Times New Roman" w:cs="Times New Roman"/>
          <w:color w:val="000000"/>
          <w:lang w:eastAsia="da-DK"/>
        </w:rPr>
      </w:pPr>
    </w:p>
    <w:p w14:paraId="3290E670" w14:textId="77777777" w:rsidR="00E90AB3" w:rsidRPr="00577043" w:rsidRDefault="00E90AB3" w:rsidP="00CB2276">
      <w:pPr>
        <w:rPr>
          <w:rFonts w:eastAsia="Times New Roman" w:cs="Times New Roman"/>
          <w:color w:val="000000"/>
          <w:lang w:eastAsia="da-DK"/>
        </w:rPr>
      </w:pPr>
      <w:r w:rsidRPr="00577043">
        <w:rPr>
          <w:rFonts w:eastAsia="Times New Roman" w:cs="Times New Roman"/>
          <w:color w:val="000000"/>
          <w:lang w:eastAsia="da-DK"/>
        </w:rPr>
        <w:t>Der</w:t>
      </w:r>
      <w:r w:rsidR="00C977D6" w:rsidRPr="00577043">
        <w:rPr>
          <w:rFonts w:eastAsia="Times New Roman" w:cs="Times New Roman"/>
          <w:color w:val="000000"/>
          <w:lang w:eastAsia="da-DK"/>
        </w:rPr>
        <w:t xml:space="preserve"> henvises i øvrigt til afsnit 2.8.</w:t>
      </w:r>
      <w:r w:rsidRPr="00577043">
        <w:rPr>
          <w:rFonts w:eastAsia="Times New Roman" w:cs="Times New Roman"/>
          <w:color w:val="000000"/>
          <w:lang w:eastAsia="da-DK"/>
        </w:rPr>
        <w:t xml:space="preserve"> i de almindelige bemærkninger</w:t>
      </w:r>
      <w:r w:rsidR="003E5535" w:rsidRPr="00577043">
        <w:rPr>
          <w:rFonts w:eastAsia="Times New Roman" w:cs="Times New Roman"/>
          <w:color w:val="000000"/>
          <w:lang w:eastAsia="da-DK"/>
        </w:rPr>
        <w:t xml:space="preserve"> og bemærkningerne til § </w:t>
      </w:r>
      <w:r w:rsidR="00091A78">
        <w:rPr>
          <w:rFonts w:eastAsia="Times New Roman" w:cs="Times New Roman"/>
          <w:color w:val="000000"/>
          <w:lang w:eastAsia="da-DK"/>
        </w:rPr>
        <w:t>3</w:t>
      </w:r>
      <w:r w:rsidR="0016270D">
        <w:rPr>
          <w:rFonts w:eastAsia="Times New Roman" w:cs="Times New Roman"/>
          <w:color w:val="000000"/>
          <w:lang w:eastAsia="da-DK"/>
        </w:rPr>
        <w:t>4</w:t>
      </w:r>
      <w:r w:rsidRPr="00577043">
        <w:rPr>
          <w:rFonts w:eastAsia="Times New Roman" w:cs="Times New Roman"/>
          <w:color w:val="000000"/>
          <w:lang w:eastAsia="da-DK"/>
        </w:rPr>
        <w:t>.</w:t>
      </w:r>
    </w:p>
    <w:p w14:paraId="7BE520A3" w14:textId="77777777" w:rsidR="00062810" w:rsidRPr="00577043" w:rsidRDefault="00062810" w:rsidP="00CB2276">
      <w:pPr>
        <w:rPr>
          <w:rFonts w:eastAsia="Times New Roman" w:cs="Times New Roman"/>
          <w:color w:val="000000"/>
          <w:lang w:eastAsia="da-DK"/>
        </w:rPr>
      </w:pPr>
    </w:p>
    <w:p w14:paraId="20221822" w14:textId="77777777" w:rsidR="0045642D" w:rsidRPr="00577043" w:rsidRDefault="00894671" w:rsidP="00CB2276">
      <w:pPr>
        <w:pStyle w:val="Overskrift2"/>
        <w:jc w:val="left"/>
        <w:rPr>
          <w:rFonts w:eastAsia="Times New Roman" w:cs="Times New Roman"/>
          <w:lang w:eastAsia="da-DK"/>
        </w:rPr>
      </w:pPr>
      <w:r w:rsidRPr="00577043">
        <w:rPr>
          <w:rFonts w:eastAsia="Times New Roman" w:cs="Times New Roman"/>
          <w:lang w:eastAsia="da-DK"/>
        </w:rPr>
        <w:t xml:space="preserve">Til nr. </w:t>
      </w:r>
      <w:r w:rsidR="00E53DC2">
        <w:rPr>
          <w:rFonts w:eastAsia="Times New Roman" w:cs="Times New Roman"/>
          <w:lang w:eastAsia="da-DK"/>
        </w:rPr>
        <w:t>34</w:t>
      </w:r>
      <w:r w:rsidR="0045642D" w:rsidRPr="00577043">
        <w:rPr>
          <w:rFonts w:eastAsia="Times New Roman" w:cs="Times New Roman"/>
          <w:lang w:eastAsia="da-DK"/>
        </w:rPr>
        <w:t>.</w:t>
      </w:r>
      <w:r w:rsidR="0045642D" w:rsidRPr="00577043">
        <w:rPr>
          <w:rFonts w:eastAsia="Times New Roman" w:cs="Times New Roman"/>
          <w:i/>
          <w:lang w:eastAsia="da-DK"/>
        </w:rPr>
        <w:t xml:space="preserve"> </w:t>
      </w:r>
      <w:r w:rsidR="0045642D" w:rsidRPr="00577043">
        <w:rPr>
          <w:rFonts w:eastAsia="Times New Roman" w:cs="Times New Roman"/>
          <w:lang w:eastAsia="da-DK"/>
        </w:rPr>
        <w:t>[Information til forsøgspersoner om ret til godtgørelse]</w:t>
      </w:r>
    </w:p>
    <w:p w14:paraId="5704A133" w14:textId="77777777" w:rsidR="007C3CF0" w:rsidRPr="00577043" w:rsidRDefault="004E0245" w:rsidP="00CB2276">
      <w:pPr>
        <w:rPr>
          <w:rFonts w:eastAsia="Times New Roman" w:cs="Times New Roman"/>
          <w:color w:val="000000"/>
          <w:lang w:eastAsia="da-DK"/>
        </w:rPr>
      </w:pPr>
      <w:r w:rsidRPr="00577043">
        <w:rPr>
          <w:rFonts w:eastAsia="Times New Roman" w:cs="Times New Roman"/>
          <w:color w:val="000000"/>
          <w:lang w:eastAsia="da-DK"/>
        </w:rPr>
        <w:t>Det foreslås med § 42, stk. 2, at en videnskabsetisk komité, som bliver opmærksom på, at en forsøgsperson kan have et krav på godtgørelse i henhold til § 42, stk. 1, kan påbyde sponsor, eller hvis denne ikke har værneting i Danmark, den forsøgsansvarlige, at informere de berørte personer herom. Dette svarer til den foreslåede § 27 b i forslag til lov om kliniske forsøg med lægemidler. Der henvises til bemærkningerne til § 27. b.</w:t>
      </w:r>
    </w:p>
    <w:p w14:paraId="67A8FAFD" w14:textId="77777777" w:rsidR="004E0245" w:rsidRPr="00577043" w:rsidRDefault="004E0245" w:rsidP="00CB2276">
      <w:pPr>
        <w:rPr>
          <w:rFonts w:eastAsia="Times New Roman" w:cs="Times New Roman"/>
          <w:color w:val="000000"/>
          <w:lang w:eastAsia="da-DK"/>
        </w:rPr>
      </w:pPr>
    </w:p>
    <w:p w14:paraId="58B1B777" w14:textId="77777777" w:rsidR="00E90AB3" w:rsidRPr="00577043" w:rsidRDefault="00E90AB3" w:rsidP="00CB2276">
      <w:pPr>
        <w:rPr>
          <w:rFonts w:eastAsia="Times New Roman" w:cs="Times New Roman"/>
          <w:color w:val="000000"/>
          <w:lang w:eastAsia="da-DK"/>
        </w:rPr>
      </w:pPr>
      <w:r w:rsidRPr="00577043">
        <w:rPr>
          <w:rFonts w:eastAsia="Times New Roman" w:cs="Times New Roman"/>
          <w:color w:val="000000"/>
          <w:lang w:eastAsia="da-DK"/>
        </w:rPr>
        <w:t>Der</w:t>
      </w:r>
      <w:r w:rsidR="00C977D6" w:rsidRPr="00577043">
        <w:rPr>
          <w:rFonts w:eastAsia="Times New Roman" w:cs="Times New Roman"/>
          <w:color w:val="000000"/>
          <w:lang w:eastAsia="da-DK"/>
        </w:rPr>
        <w:t xml:space="preserve"> henvises i øvrigt til afsnit 2.8.</w:t>
      </w:r>
      <w:r w:rsidRPr="00577043">
        <w:rPr>
          <w:rFonts w:eastAsia="Times New Roman" w:cs="Times New Roman"/>
          <w:color w:val="000000"/>
          <w:lang w:eastAsia="da-DK"/>
        </w:rPr>
        <w:t xml:space="preserve"> i de almindelige bemærkninger</w:t>
      </w:r>
      <w:r w:rsidR="003E5535" w:rsidRPr="00577043">
        <w:rPr>
          <w:rFonts w:eastAsia="Times New Roman" w:cs="Times New Roman"/>
          <w:color w:val="000000"/>
          <w:lang w:eastAsia="da-DK"/>
        </w:rPr>
        <w:t xml:space="preserve"> og bemærkningerne til § </w:t>
      </w:r>
      <w:r w:rsidR="00091A78">
        <w:rPr>
          <w:rFonts w:eastAsia="Times New Roman" w:cs="Times New Roman"/>
          <w:color w:val="000000"/>
          <w:lang w:eastAsia="da-DK"/>
        </w:rPr>
        <w:t>3</w:t>
      </w:r>
      <w:r w:rsidR="0016270D">
        <w:rPr>
          <w:rFonts w:eastAsia="Times New Roman" w:cs="Times New Roman"/>
          <w:color w:val="000000"/>
          <w:lang w:eastAsia="da-DK"/>
        </w:rPr>
        <w:t>4</w:t>
      </w:r>
      <w:r w:rsidRPr="00577043">
        <w:rPr>
          <w:rFonts w:eastAsia="Times New Roman" w:cs="Times New Roman"/>
          <w:color w:val="000000"/>
          <w:lang w:eastAsia="da-DK"/>
        </w:rPr>
        <w:t>.</w:t>
      </w:r>
    </w:p>
    <w:p w14:paraId="34D83E3A" w14:textId="77777777" w:rsidR="00062810" w:rsidRPr="00577043" w:rsidRDefault="00062810" w:rsidP="00CB2276">
      <w:pPr>
        <w:rPr>
          <w:rFonts w:eastAsia="Times New Roman" w:cs="Times New Roman"/>
          <w:color w:val="000000"/>
          <w:lang w:eastAsia="da-DK"/>
        </w:rPr>
      </w:pPr>
    </w:p>
    <w:p w14:paraId="66D8036C" w14:textId="77777777" w:rsidR="006D75FD" w:rsidRPr="00577043" w:rsidRDefault="006D75FD" w:rsidP="00CB2276">
      <w:pPr>
        <w:rPr>
          <w:rFonts w:eastAsia="Times New Roman" w:cs="Times New Roman"/>
          <w:color w:val="000000"/>
          <w:lang w:eastAsia="da-DK"/>
        </w:rPr>
      </w:pPr>
    </w:p>
    <w:p w14:paraId="08082399" w14:textId="77777777" w:rsidR="001C430E" w:rsidRPr="00577043" w:rsidRDefault="001C430E" w:rsidP="001C430E">
      <w:pPr>
        <w:pStyle w:val="Overskrift2"/>
        <w:rPr>
          <w:rFonts w:eastAsia="Times New Roman"/>
          <w:b w:val="0"/>
          <w:lang w:eastAsia="da-DK"/>
        </w:rPr>
      </w:pPr>
      <w:r w:rsidRPr="00577043">
        <w:rPr>
          <w:rFonts w:eastAsia="Times New Roman"/>
          <w:lang w:eastAsia="da-DK"/>
        </w:rPr>
        <w:t xml:space="preserve">Til </w:t>
      </w:r>
      <w:r w:rsidR="00285855" w:rsidRPr="00285855">
        <w:rPr>
          <w:rFonts w:eastAsia="Times New Roman"/>
          <w:lang w:eastAsia="da-DK"/>
        </w:rPr>
        <w:t>§</w:t>
      </w:r>
      <w:r w:rsidR="00285855">
        <w:rPr>
          <w:rFonts w:eastAsia="Times New Roman"/>
          <w:lang w:eastAsia="da-DK"/>
        </w:rPr>
        <w:t xml:space="preserve"> 35</w:t>
      </w:r>
      <w:r w:rsidRPr="00577043">
        <w:rPr>
          <w:rFonts w:eastAsia="Times New Roman"/>
          <w:lang w:eastAsia="da-DK"/>
        </w:rPr>
        <w:t>.</w:t>
      </w:r>
      <w:r w:rsidRPr="00577043">
        <w:rPr>
          <w:rFonts w:eastAsia="Times New Roman"/>
          <w:b w:val="0"/>
          <w:lang w:eastAsia="da-DK"/>
        </w:rPr>
        <w:t xml:space="preserve"> [</w:t>
      </w:r>
      <w:r w:rsidRPr="00577043">
        <w:rPr>
          <w:rFonts w:eastAsia="Times New Roman"/>
          <w:lang w:eastAsia="da-DK"/>
        </w:rPr>
        <w:t>Sundhedsloven</w:t>
      </w:r>
      <w:r w:rsidRPr="00577043">
        <w:rPr>
          <w:rFonts w:eastAsia="Times New Roman"/>
          <w:b w:val="0"/>
          <w:lang w:eastAsia="da-DK"/>
        </w:rPr>
        <w:t>]</w:t>
      </w:r>
    </w:p>
    <w:p w14:paraId="3B4A647F" w14:textId="77777777" w:rsidR="001C430E" w:rsidRDefault="00011D78" w:rsidP="001C430E">
      <w:r>
        <w:t xml:space="preserve">Med § </w:t>
      </w:r>
      <w:r w:rsidR="00FA1DDC">
        <w:t>35</w:t>
      </w:r>
      <w:r w:rsidR="001C430E" w:rsidRPr="00577043">
        <w:t xml:space="preserve"> foreslås det</w:t>
      </w:r>
      <w:r>
        <w:t>,</w:t>
      </w:r>
      <w:r w:rsidR="001C430E" w:rsidRPr="00577043">
        <w:t xml:space="preserve"> at </w:t>
      </w:r>
      <w:r>
        <w:t>sundhedslovens § 46, stk. 1,</w:t>
      </w:r>
      <w:r w:rsidR="001C430E" w:rsidRPr="00577043">
        <w:t xml:space="preserve"> også omfatter kliniske forsøg med lægemidler, som er godkendt efter </w:t>
      </w:r>
      <w:r w:rsidR="00294601">
        <w:t>forordningen</w:t>
      </w:r>
      <w:r w:rsidR="001C430E" w:rsidRPr="00577043">
        <w:t xml:space="preserve">. </w:t>
      </w:r>
    </w:p>
    <w:p w14:paraId="2FFE33A7" w14:textId="77777777" w:rsidR="00011D78" w:rsidRPr="00577043" w:rsidRDefault="00011D78" w:rsidP="001C430E"/>
    <w:p w14:paraId="46106D80" w14:textId="77777777" w:rsidR="001C430E" w:rsidRPr="00577043" w:rsidRDefault="001C430E" w:rsidP="001C430E">
      <w:r w:rsidRPr="00577043">
        <w:t xml:space="preserve">Ændringen indebærer, at der i medfør af § 46, stk. 1, i sundhedsloven også kan videregives oplysninger om enkeltpersoners helbredsforhold, øvrige rent private forhold og andre fortrolige oplysninger fra patientjournaler m.v. til en forsker til brug for kliniske forsøg med lægemidler, såfremt forsøget er godkendt efter </w:t>
      </w:r>
      <w:r w:rsidR="00294601">
        <w:t>forordningen</w:t>
      </w:r>
      <w:r w:rsidRPr="00577043">
        <w:t xml:space="preserve">. Der henvises til bemærkningerne til §§ </w:t>
      </w:r>
      <w:r w:rsidR="00FA1DDC">
        <w:t>18 og 19</w:t>
      </w:r>
      <w:r w:rsidRPr="00577043">
        <w:t xml:space="preserve">.  </w:t>
      </w:r>
    </w:p>
    <w:p w14:paraId="7F45AD8C" w14:textId="77777777" w:rsidR="001C430E" w:rsidRPr="00577043" w:rsidRDefault="001C430E" w:rsidP="001C430E"/>
    <w:p w14:paraId="2F1FE333" w14:textId="77777777" w:rsidR="001C430E" w:rsidRPr="00577043" w:rsidRDefault="001C430E" w:rsidP="001C430E"/>
    <w:p w14:paraId="755BE16F" w14:textId="77777777" w:rsidR="001C430E" w:rsidRPr="00577043" w:rsidRDefault="001C430E" w:rsidP="001C430E">
      <w:pPr>
        <w:pStyle w:val="Overskrift2"/>
        <w:rPr>
          <w:rFonts w:eastAsia="Times New Roman"/>
          <w:b w:val="0"/>
          <w:lang w:eastAsia="da-DK"/>
        </w:rPr>
      </w:pPr>
      <w:r w:rsidRPr="00577043">
        <w:rPr>
          <w:rFonts w:eastAsia="Times New Roman"/>
          <w:lang w:eastAsia="da-DK"/>
        </w:rPr>
        <w:t xml:space="preserve">Til nr. § </w:t>
      </w:r>
      <w:r w:rsidR="00FA1DDC">
        <w:rPr>
          <w:rFonts w:eastAsia="Times New Roman"/>
          <w:lang w:eastAsia="da-DK"/>
        </w:rPr>
        <w:t>36</w:t>
      </w:r>
      <w:r w:rsidRPr="00577043">
        <w:rPr>
          <w:rFonts w:eastAsia="Times New Roman"/>
          <w:lang w:eastAsia="da-DK"/>
        </w:rPr>
        <w:t>.</w:t>
      </w:r>
      <w:r w:rsidRPr="00577043">
        <w:rPr>
          <w:rFonts w:eastAsia="Times New Roman"/>
          <w:b w:val="0"/>
          <w:lang w:eastAsia="da-DK"/>
        </w:rPr>
        <w:t xml:space="preserve"> [</w:t>
      </w:r>
      <w:r w:rsidRPr="00577043">
        <w:rPr>
          <w:rFonts w:eastAsia="Times New Roman"/>
          <w:lang w:eastAsia="da-DK"/>
        </w:rPr>
        <w:t>Lov om Det Etiske Råd</w:t>
      </w:r>
      <w:r w:rsidRPr="00577043">
        <w:rPr>
          <w:rFonts w:eastAsia="Times New Roman"/>
          <w:b w:val="0"/>
          <w:lang w:eastAsia="da-DK"/>
        </w:rPr>
        <w:t>]</w:t>
      </w:r>
    </w:p>
    <w:p w14:paraId="60E44B38" w14:textId="77777777" w:rsidR="001C430E" w:rsidRPr="00577043" w:rsidRDefault="001C430E" w:rsidP="001C430E">
      <w:pPr>
        <w:rPr>
          <w:lang w:eastAsia="da-DK"/>
        </w:rPr>
      </w:pPr>
      <w:r w:rsidRPr="00577043">
        <w:rPr>
          <w:rFonts w:eastAsia="Times New Roman" w:cs="Times New Roman"/>
          <w:color w:val="000000"/>
          <w:lang w:eastAsia="da-DK"/>
        </w:rPr>
        <w:t>Med forslaget erstattes ”Den Centrale Videnskabsetiske Komité” med ”Den nationale Videnskabsetiske Komité” i overensstemmelse med myndighedens navn i dag, jf. komitéloven.</w:t>
      </w:r>
    </w:p>
    <w:p w14:paraId="312692C3" w14:textId="77777777" w:rsidR="00EF3217" w:rsidRPr="00577043" w:rsidRDefault="00A872F2" w:rsidP="00A872F2">
      <w:pPr>
        <w:pStyle w:val="Overskrift1"/>
        <w:rPr>
          <w:rFonts w:eastAsia="Times New Roman"/>
          <w:lang w:eastAsia="da-DK"/>
        </w:rPr>
      </w:pPr>
      <w:r w:rsidRPr="00577043">
        <w:rPr>
          <w:rFonts w:eastAsia="Times New Roman"/>
          <w:lang w:eastAsia="da-DK"/>
        </w:rPr>
        <w:t xml:space="preserve">Til </w:t>
      </w:r>
      <w:r w:rsidR="00EF3217" w:rsidRPr="00577043">
        <w:rPr>
          <w:rFonts w:eastAsia="Times New Roman"/>
          <w:lang w:eastAsia="da-DK"/>
        </w:rPr>
        <w:t xml:space="preserve">§ </w:t>
      </w:r>
      <w:r w:rsidR="00FA1DDC">
        <w:rPr>
          <w:rFonts w:eastAsia="Times New Roman"/>
          <w:lang w:eastAsia="da-DK"/>
        </w:rPr>
        <w:t>37</w:t>
      </w:r>
      <w:r w:rsidR="00EF3217" w:rsidRPr="00577043">
        <w:rPr>
          <w:rFonts w:eastAsia="Times New Roman"/>
          <w:lang w:eastAsia="da-DK"/>
        </w:rPr>
        <w:t xml:space="preserve"> [Ændring </w:t>
      </w:r>
      <w:r w:rsidR="00221306" w:rsidRPr="00577043">
        <w:rPr>
          <w:rFonts w:eastAsia="Times New Roman"/>
          <w:lang w:eastAsia="da-DK"/>
        </w:rPr>
        <w:t>i</w:t>
      </w:r>
      <w:r w:rsidR="00EF3217" w:rsidRPr="00577043">
        <w:rPr>
          <w:rFonts w:eastAsia="Times New Roman"/>
          <w:lang w:eastAsia="da-DK"/>
        </w:rPr>
        <w:t xml:space="preserve"> lov om klage og erstatning]</w:t>
      </w:r>
    </w:p>
    <w:p w14:paraId="2FD92080" w14:textId="77777777" w:rsidR="00C95882" w:rsidRPr="00577043" w:rsidRDefault="00A361AD" w:rsidP="00C95882">
      <w:pPr>
        <w:rPr>
          <w:rFonts w:eastAsia="Times New Roman" w:cs="Times New Roman"/>
          <w:color w:val="000000"/>
          <w:lang w:eastAsia="da-DK"/>
        </w:rPr>
      </w:pPr>
      <w:r w:rsidRPr="00577043">
        <w:rPr>
          <w:rFonts w:eastAsia="Times New Roman" w:cs="Times New Roman"/>
          <w:color w:val="000000"/>
          <w:lang w:eastAsia="da-DK"/>
        </w:rPr>
        <w:t>I lov om klage- og erstatningsadgang inden for sundhedsvæsnet, jf. lovbekendtgørelse nr. 1113 af 7. november 2011, er det i § 19, stk. 1 fastsat, at der ydes erstatning efter reglerne i kapitel 3 i loven til patienter eller efterladte til patienter, som her i landet påføres skade i forbindelse med undersøgelse, behandling el. lignende</w:t>
      </w:r>
      <w:r w:rsidR="007F7B64" w:rsidRPr="00577043">
        <w:rPr>
          <w:rFonts w:eastAsia="Times New Roman" w:cs="Times New Roman"/>
          <w:color w:val="000000"/>
          <w:lang w:eastAsia="da-DK"/>
        </w:rPr>
        <w:t>, som er foretaget på nærmere angivne behandlingssteder eller af nærmere angivne sundhedspersoner</w:t>
      </w:r>
      <w:r w:rsidRPr="00577043">
        <w:rPr>
          <w:rFonts w:eastAsia="Times New Roman" w:cs="Times New Roman"/>
          <w:color w:val="000000"/>
          <w:lang w:eastAsia="da-DK"/>
        </w:rPr>
        <w:t>. I § 19, stk. 2, er det endvidere fastsat, at personer, der deltager i sundhedsvidenskabelige forsøg, der ikke indgår som led i diagnostik eller behandling af personens sygdom, sidestilles med patienter.</w:t>
      </w:r>
    </w:p>
    <w:p w14:paraId="37C0AA4A" w14:textId="77777777" w:rsidR="00C95882" w:rsidRPr="00577043" w:rsidRDefault="00C95882" w:rsidP="00C95882">
      <w:pPr>
        <w:rPr>
          <w:rFonts w:eastAsia="Times New Roman" w:cs="Times New Roman"/>
          <w:color w:val="000000"/>
          <w:lang w:eastAsia="da-DK"/>
        </w:rPr>
      </w:pPr>
    </w:p>
    <w:p w14:paraId="75519FE9" w14:textId="77777777" w:rsidR="004E0F53" w:rsidRPr="00577043" w:rsidRDefault="004E0F53" w:rsidP="004E0F53">
      <w:pPr>
        <w:rPr>
          <w:rFonts w:eastAsia="Times New Roman" w:cs="Times New Roman"/>
          <w:color w:val="000000"/>
          <w:lang w:eastAsia="da-DK"/>
        </w:rPr>
      </w:pPr>
      <w:r w:rsidRPr="00577043">
        <w:rPr>
          <w:rFonts w:eastAsia="Times New Roman" w:cs="Times New Roman"/>
          <w:color w:val="000000"/>
          <w:lang w:eastAsia="da-DK"/>
        </w:rPr>
        <w:t xml:space="preserve">Efter gældende regler foreligger der kun et forsøg i bestemmelsens forstand, hvis projektet har et forskningsmæssigt sigte, dvs. at der </w:t>
      </w:r>
      <w:r w:rsidR="001D0949" w:rsidRPr="00577043">
        <w:rPr>
          <w:rFonts w:eastAsia="Times New Roman" w:cs="Times New Roman"/>
          <w:color w:val="000000"/>
          <w:lang w:eastAsia="da-DK"/>
        </w:rPr>
        <w:t>er tale om planlagt virksomhed, som har til formål systematisk at erhverve viden om sygdommes opståen og om forebyggelse, diagnostik og behandling heraf</w:t>
      </w:r>
      <w:r w:rsidRPr="00577043">
        <w:rPr>
          <w:rFonts w:eastAsia="Times New Roman" w:cs="Times New Roman"/>
          <w:color w:val="000000"/>
          <w:lang w:eastAsia="da-DK"/>
        </w:rPr>
        <w:t xml:space="preserve">, jf. </w:t>
      </w:r>
      <w:r w:rsidR="001D0949" w:rsidRPr="00577043">
        <w:rPr>
          <w:rFonts w:eastAsia="Times New Roman" w:cs="Times New Roman"/>
          <w:color w:val="000000"/>
          <w:lang w:eastAsia="da-DK"/>
        </w:rPr>
        <w:t xml:space="preserve">bemærkninger til § 2, stk. 1, nr. 1, i lovforslaget til </w:t>
      </w:r>
      <w:r w:rsidRPr="00577043">
        <w:rPr>
          <w:rFonts w:eastAsia="Times New Roman" w:cs="Times New Roman"/>
          <w:color w:val="000000"/>
          <w:lang w:eastAsia="da-DK"/>
        </w:rPr>
        <w:t xml:space="preserve">komitéloven. </w:t>
      </w:r>
    </w:p>
    <w:p w14:paraId="5770B557" w14:textId="77777777" w:rsidR="004E0F53" w:rsidRPr="00577043" w:rsidRDefault="004E0F53" w:rsidP="00C95882">
      <w:pPr>
        <w:rPr>
          <w:rFonts w:eastAsia="Times New Roman" w:cs="Times New Roman"/>
          <w:color w:val="000000"/>
          <w:lang w:eastAsia="da-DK"/>
        </w:rPr>
      </w:pPr>
    </w:p>
    <w:p w14:paraId="19E9A2A6" w14:textId="77777777" w:rsidR="00A361AD" w:rsidRPr="00577043" w:rsidRDefault="00A361AD" w:rsidP="00C95882">
      <w:pPr>
        <w:rPr>
          <w:rFonts w:eastAsia="Times New Roman" w:cs="Times New Roman"/>
          <w:color w:val="000000"/>
          <w:lang w:eastAsia="da-DK"/>
        </w:rPr>
      </w:pPr>
      <w:r w:rsidRPr="00577043">
        <w:rPr>
          <w:rFonts w:eastAsia="Times New Roman" w:cs="Times New Roman"/>
          <w:color w:val="000000"/>
          <w:lang w:eastAsia="da-DK"/>
        </w:rPr>
        <w:lastRenderedPageBreak/>
        <w:t>Komitéloven fastlægger de retlige rammer for komiteernes videnskabsetiske bedømmelse af sundhedsvidenskabelige forskningsprojekter, jf. § 1, stk. 1. I komitélovens § 2, stk. 1, nr. 2, er det fastsat, at sundhedsvidenskabelige forskningsprojekter omfattet forsøg med lægemidler. Komitéloven vil imidlertid ikke omfatte forsøg med lægemidler, når forordningen finder anvendelse, og der ikke i medfør af overgangsbestemmelsen længere er mulighed for at indgive en ansøgning om godkendelse af et klinisk forsøg med lægemidler efter gældende regler.</w:t>
      </w:r>
    </w:p>
    <w:p w14:paraId="33117E31" w14:textId="77777777" w:rsidR="00A361AD" w:rsidRPr="00577043" w:rsidRDefault="00A361AD" w:rsidP="00C95882">
      <w:pPr>
        <w:rPr>
          <w:rFonts w:eastAsia="Times New Roman" w:cs="Times New Roman"/>
          <w:color w:val="000000"/>
          <w:lang w:eastAsia="da-DK"/>
        </w:rPr>
      </w:pPr>
    </w:p>
    <w:p w14:paraId="4122E702" w14:textId="77777777" w:rsidR="00C95882" w:rsidRPr="00577043" w:rsidRDefault="004E0F53" w:rsidP="00C95882">
      <w:pPr>
        <w:rPr>
          <w:rFonts w:eastAsia="Times New Roman" w:cs="Times New Roman"/>
          <w:color w:val="000000"/>
          <w:lang w:eastAsia="da-DK"/>
        </w:rPr>
      </w:pPr>
      <w:r w:rsidRPr="00577043">
        <w:rPr>
          <w:rFonts w:eastAsia="Times New Roman" w:cs="Times New Roman"/>
          <w:color w:val="000000"/>
          <w:lang w:eastAsia="da-DK"/>
        </w:rPr>
        <w:t xml:space="preserve">For at undgå usikkerhed om, hvorvidt de foreslåede regler om kliniske forsøg med lægemidler er omfattet af patienterstatningens dækningsområde, </w:t>
      </w:r>
      <w:r w:rsidR="00C95882" w:rsidRPr="00577043">
        <w:rPr>
          <w:rFonts w:eastAsia="Times New Roman" w:cs="Times New Roman"/>
          <w:color w:val="000000"/>
          <w:lang w:eastAsia="da-DK"/>
        </w:rPr>
        <w:t xml:space="preserve">foreslås </w:t>
      </w:r>
      <w:r w:rsidRPr="00577043">
        <w:rPr>
          <w:rFonts w:eastAsia="Times New Roman" w:cs="Times New Roman"/>
          <w:color w:val="000000"/>
          <w:lang w:eastAsia="da-DK"/>
        </w:rPr>
        <w:t>det med lovforslagets</w:t>
      </w:r>
      <w:r w:rsidR="00C95882" w:rsidRPr="00577043">
        <w:rPr>
          <w:rFonts w:eastAsia="Times New Roman" w:cs="Times New Roman"/>
          <w:color w:val="000000"/>
          <w:lang w:eastAsia="da-DK"/>
        </w:rPr>
        <w:t xml:space="preserve"> § 3</w:t>
      </w:r>
      <w:r w:rsidRPr="00577043">
        <w:rPr>
          <w:rFonts w:eastAsia="Times New Roman" w:cs="Times New Roman"/>
          <w:color w:val="000000"/>
          <w:lang w:eastAsia="da-DK"/>
        </w:rPr>
        <w:t>0</w:t>
      </w:r>
      <w:r w:rsidR="00C95882" w:rsidRPr="00577043">
        <w:rPr>
          <w:rFonts w:eastAsia="Times New Roman" w:cs="Times New Roman"/>
          <w:color w:val="000000"/>
          <w:lang w:eastAsia="da-DK"/>
        </w:rPr>
        <w:t>,</w:t>
      </w:r>
      <w:r w:rsidRPr="00577043">
        <w:rPr>
          <w:rFonts w:eastAsia="Times New Roman" w:cs="Times New Roman"/>
          <w:color w:val="000000"/>
          <w:lang w:eastAsia="da-DK"/>
        </w:rPr>
        <w:t xml:space="preserve"> nr. 1</w:t>
      </w:r>
      <w:r w:rsidR="001D0949" w:rsidRPr="00577043">
        <w:rPr>
          <w:rFonts w:eastAsia="Times New Roman" w:cs="Times New Roman"/>
          <w:color w:val="000000"/>
          <w:lang w:eastAsia="da-DK"/>
        </w:rPr>
        <w:t>,</w:t>
      </w:r>
      <w:r w:rsidR="00C95882" w:rsidRPr="00577043">
        <w:rPr>
          <w:rFonts w:eastAsia="Times New Roman" w:cs="Times New Roman"/>
          <w:color w:val="000000"/>
          <w:lang w:eastAsia="da-DK"/>
        </w:rPr>
        <w:t xml:space="preserve"> at det i lov om klage- og erstatningsadgang inden for sundhedsvæsnet, jf. lovbekendtgørelse nr. 1113 af 7. november 2011 præciseres, at forsøg også omfatter kliniske forsøg </w:t>
      </w:r>
      <w:r w:rsidR="003B010B" w:rsidRPr="00577043">
        <w:rPr>
          <w:rFonts w:eastAsia="Times New Roman" w:cs="Times New Roman"/>
          <w:color w:val="000000"/>
          <w:lang w:eastAsia="da-DK"/>
        </w:rPr>
        <w:t>med lægemidler</w:t>
      </w:r>
      <w:r w:rsidR="00C95882" w:rsidRPr="00577043">
        <w:rPr>
          <w:rFonts w:eastAsia="Times New Roman" w:cs="Times New Roman"/>
          <w:color w:val="000000"/>
          <w:lang w:eastAsia="da-DK"/>
        </w:rPr>
        <w:t>.</w:t>
      </w:r>
    </w:p>
    <w:p w14:paraId="7304FCF5" w14:textId="77777777" w:rsidR="00C95882" w:rsidRPr="00577043" w:rsidRDefault="00C95882" w:rsidP="00CB2276">
      <w:pPr>
        <w:rPr>
          <w:rFonts w:eastAsia="Times New Roman" w:cs="Times New Roman"/>
          <w:color w:val="000000"/>
          <w:lang w:eastAsia="da-DK"/>
        </w:rPr>
      </w:pPr>
    </w:p>
    <w:p w14:paraId="21693CEA" w14:textId="77777777" w:rsidR="00C95882" w:rsidRPr="00577043" w:rsidRDefault="00C95882" w:rsidP="00CB2276">
      <w:pPr>
        <w:rPr>
          <w:rFonts w:eastAsia="Times New Roman" w:cs="Times New Roman"/>
          <w:color w:val="000000"/>
          <w:lang w:eastAsia="da-DK"/>
        </w:rPr>
      </w:pPr>
    </w:p>
    <w:p w14:paraId="5D52A4DD" w14:textId="77777777" w:rsidR="00C95882" w:rsidRPr="00577043" w:rsidRDefault="00C95882" w:rsidP="00CB2276">
      <w:pPr>
        <w:rPr>
          <w:rFonts w:eastAsia="Times New Roman" w:cs="Times New Roman"/>
          <w:color w:val="000000"/>
          <w:lang w:eastAsia="da-DK"/>
        </w:rPr>
      </w:pPr>
    </w:p>
    <w:p w14:paraId="468B938B" w14:textId="77777777" w:rsidR="00364B20" w:rsidRPr="00577043" w:rsidRDefault="00364B20" w:rsidP="00CB2276">
      <w:pPr>
        <w:jc w:val="right"/>
        <w:rPr>
          <w:rFonts w:eastAsia="Times New Roman" w:cs="Times New Roman"/>
          <w:bCs/>
          <w:color w:val="000000"/>
          <w:lang w:eastAsia="da-DK"/>
        </w:rPr>
      </w:pPr>
    </w:p>
    <w:p w14:paraId="73A80C7E" w14:textId="77777777" w:rsidR="00364B20" w:rsidRPr="00577043" w:rsidRDefault="00364B20" w:rsidP="00CB2276">
      <w:pPr>
        <w:jc w:val="right"/>
        <w:rPr>
          <w:rFonts w:eastAsia="Times New Roman" w:cs="Times New Roman"/>
          <w:b/>
          <w:bCs/>
          <w:color w:val="000000"/>
          <w:lang w:eastAsia="da-DK"/>
        </w:rPr>
      </w:pPr>
    </w:p>
    <w:p w14:paraId="10F4252D" w14:textId="77777777" w:rsidR="00364B20" w:rsidRPr="00CB2276" w:rsidRDefault="00364B20" w:rsidP="00CB2276">
      <w:pPr>
        <w:rPr>
          <w:rFonts w:eastAsia="Times New Roman" w:cs="Times New Roman"/>
          <w:color w:val="000000"/>
          <w:lang w:eastAsia="da-DK"/>
        </w:rPr>
      </w:pPr>
    </w:p>
    <w:sectPr w:rsidR="00364B20" w:rsidRPr="00CB2276">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CE3E5" w14:textId="77777777" w:rsidR="00AB0896" w:rsidRDefault="00AB0896" w:rsidP="000E1FD8">
      <w:r>
        <w:separator/>
      </w:r>
    </w:p>
  </w:endnote>
  <w:endnote w:type="continuationSeparator" w:id="0">
    <w:p w14:paraId="13232E4D" w14:textId="77777777" w:rsidR="00AB0896" w:rsidRDefault="00AB0896" w:rsidP="000E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809376"/>
      <w:docPartObj>
        <w:docPartGallery w:val="Page Numbers (Bottom of Page)"/>
        <w:docPartUnique/>
      </w:docPartObj>
    </w:sdtPr>
    <w:sdtEndPr/>
    <w:sdtContent>
      <w:p w14:paraId="73130F23" w14:textId="77777777" w:rsidR="00840F82" w:rsidRDefault="00840F82">
        <w:pPr>
          <w:pStyle w:val="Sidefod"/>
          <w:jc w:val="center"/>
        </w:pPr>
        <w:r>
          <w:fldChar w:fldCharType="begin"/>
        </w:r>
        <w:r>
          <w:instrText>PAGE   \* MERGEFORMAT</w:instrText>
        </w:r>
        <w:r>
          <w:fldChar w:fldCharType="separate"/>
        </w:r>
        <w:r w:rsidR="004A6639">
          <w:rPr>
            <w:noProof/>
          </w:rPr>
          <w:t>1</w:t>
        </w:r>
        <w:r>
          <w:fldChar w:fldCharType="end"/>
        </w:r>
      </w:p>
    </w:sdtContent>
  </w:sdt>
  <w:p w14:paraId="3D389838" w14:textId="77777777" w:rsidR="00840F82" w:rsidRDefault="00840F82">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40E83" w14:textId="77777777" w:rsidR="00AB0896" w:rsidRDefault="00AB0896" w:rsidP="000E1FD8">
      <w:r>
        <w:separator/>
      </w:r>
    </w:p>
  </w:footnote>
  <w:footnote w:type="continuationSeparator" w:id="0">
    <w:p w14:paraId="78F98B96" w14:textId="77777777" w:rsidR="00AB0896" w:rsidRDefault="00AB0896" w:rsidP="000E1F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F2A51EF"/>
    <w:multiLevelType w:val="hybridMultilevel"/>
    <w:tmpl w:val="357CC2A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A06CF"/>
    <w:multiLevelType w:val="hybridMultilevel"/>
    <w:tmpl w:val="014616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53873D0"/>
    <w:multiLevelType w:val="hybridMultilevel"/>
    <w:tmpl w:val="C8E6C51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74632CC"/>
    <w:multiLevelType w:val="hybridMultilevel"/>
    <w:tmpl w:val="DC682700"/>
    <w:lvl w:ilvl="0" w:tplc="0406001B">
      <w:start w:val="1"/>
      <w:numFmt w:val="lowerRoman"/>
      <w:lvlText w:val="%1."/>
      <w:lvlJc w:val="righ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BD75A38"/>
    <w:multiLevelType w:val="hybridMultilevel"/>
    <w:tmpl w:val="7C72AA8E"/>
    <w:lvl w:ilvl="0" w:tplc="2C82EB96">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0536499"/>
    <w:multiLevelType w:val="hybridMultilevel"/>
    <w:tmpl w:val="DAD46ECE"/>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514667B"/>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BF5533"/>
    <w:multiLevelType w:val="hybridMultilevel"/>
    <w:tmpl w:val="3D96FA56"/>
    <w:lvl w:ilvl="0" w:tplc="7CB6ED94">
      <w:start w:val="1"/>
      <w:numFmt w:val="decimal"/>
      <w:lvlText w:val="%1."/>
      <w:lvlJc w:val="left"/>
      <w:pPr>
        <w:ind w:left="525" w:hanging="360"/>
      </w:pPr>
      <w:rPr>
        <w:rFonts w:hint="default"/>
        <w:b/>
      </w:rPr>
    </w:lvl>
    <w:lvl w:ilvl="1" w:tplc="04060019" w:tentative="1">
      <w:start w:val="1"/>
      <w:numFmt w:val="lowerLetter"/>
      <w:lvlText w:val="%2."/>
      <w:lvlJc w:val="left"/>
      <w:pPr>
        <w:ind w:left="1245" w:hanging="360"/>
      </w:pPr>
    </w:lvl>
    <w:lvl w:ilvl="2" w:tplc="0406001B" w:tentative="1">
      <w:start w:val="1"/>
      <w:numFmt w:val="lowerRoman"/>
      <w:lvlText w:val="%3."/>
      <w:lvlJc w:val="right"/>
      <w:pPr>
        <w:ind w:left="1965" w:hanging="180"/>
      </w:pPr>
    </w:lvl>
    <w:lvl w:ilvl="3" w:tplc="0406000F" w:tentative="1">
      <w:start w:val="1"/>
      <w:numFmt w:val="decimal"/>
      <w:lvlText w:val="%4."/>
      <w:lvlJc w:val="left"/>
      <w:pPr>
        <w:ind w:left="2685" w:hanging="360"/>
      </w:pPr>
    </w:lvl>
    <w:lvl w:ilvl="4" w:tplc="04060019" w:tentative="1">
      <w:start w:val="1"/>
      <w:numFmt w:val="lowerLetter"/>
      <w:lvlText w:val="%5."/>
      <w:lvlJc w:val="left"/>
      <w:pPr>
        <w:ind w:left="3405" w:hanging="360"/>
      </w:pPr>
    </w:lvl>
    <w:lvl w:ilvl="5" w:tplc="0406001B" w:tentative="1">
      <w:start w:val="1"/>
      <w:numFmt w:val="lowerRoman"/>
      <w:lvlText w:val="%6."/>
      <w:lvlJc w:val="right"/>
      <w:pPr>
        <w:ind w:left="4125" w:hanging="180"/>
      </w:pPr>
    </w:lvl>
    <w:lvl w:ilvl="6" w:tplc="0406000F" w:tentative="1">
      <w:start w:val="1"/>
      <w:numFmt w:val="decimal"/>
      <w:lvlText w:val="%7."/>
      <w:lvlJc w:val="left"/>
      <w:pPr>
        <w:ind w:left="4845" w:hanging="360"/>
      </w:pPr>
    </w:lvl>
    <w:lvl w:ilvl="7" w:tplc="04060019" w:tentative="1">
      <w:start w:val="1"/>
      <w:numFmt w:val="lowerLetter"/>
      <w:lvlText w:val="%8."/>
      <w:lvlJc w:val="left"/>
      <w:pPr>
        <w:ind w:left="5565" w:hanging="360"/>
      </w:pPr>
    </w:lvl>
    <w:lvl w:ilvl="8" w:tplc="0406001B" w:tentative="1">
      <w:start w:val="1"/>
      <w:numFmt w:val="lowerRoman"/>
      <w:lvlText w:val="%9."/>
      <w:lvlJc w:val="right"/>
      <w:pPr>
        <w:ind w:left="6285" w:hanging="180"/>
      </w:pPr>
    </w:lvl>
  </w:abstractNum>
  <w:abstractNum w:abstractNumId="8">
    <w:nsid w:val="17735CC3"/>
    <w:multiLevelType w:val="hybridMultilevel"/>
    <w:tmpl w:val="C954574E"/>
    <w:lvl w:ilvl="0" w:tplc="06402592">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AD232AD"/>
    <w:multiLevelType w:val="hybridMultilevel"/>
    <w:tmpl w:val="1BCE053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nsid w:val="1FDF6C96"/>
    <w:multiLevelType w:val="hybridMultilevel"/>
    <w:tmpl w:val="E348C45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3CF69AB"/>
    <w:multiLevelType w:val="hybridMultilevel"/>
    <w:tmpl w:val="417EED60"/>
    <w:lvl w:ilvl="0" w:tplc="9E9429F0">
      <w:start w:val="1"/>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273133C8"/>
    <w:multiLevelType w:val="hybridMultilevel"/>
    <w:tmpl w:val="C2C223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8CF3FB1"/>
    <w:multiLevelType w:val="hybridMultilevel"/>
    <w:tmpl w:val="BDB43A00"/>
    <w:lvl w:ilvl="0" w:tplc="1832935C">
      <w:start w:val="1"/>
      <w:numFmt w:val="decimal"/>
      <w:lvlText w:val="%1)"/>
      <w:lvlJc w:val="left"/>
      <w:pPr>
        <w:ind w:left="525" w:hanging="360"/>
      </w:pPr>
      <w:rPr>
        <w:rFonts w:hint="default"/>
      </w:rPr>
    </w:lvl>
    <w:lvl w:ilvl="1" w:tplc="04060019" w:tentative="1">
      <w:start w:val="1"/>
      <w:numFmt w:val="lowerLetter"/>
      <w:lvlText w:val="%2."/>
      <w:lvlJc w:val="left"/>
      <w:pPr>
        <w:ind w:left="1245" w:hanging="360"/>
      </w:pPr>
    </w:lvl>
    <w:lvl w:ilvl="2" w:tplc="0406001B" w:tentative="1">
      <w:start w:val="1"/>
      <w:numFmt w:val="lowerRoman"/>
      <w:lvlText w:val="%3."/>
      <w:lvlJc w:val="right"/>
      <w:pPr>
        <w:ind w:left="1965" w:hanging="180"/>
      </w:pPr>
    </w:lvl>
    <w:lvl w:ilvl="3" w:tplc="0406000F" w:tentative="1">
      <w:start w:val="1"/>
      <w:numFmt w:val="decimal"/>
      <w:lvlText w:val="%4."/>
      <w:lvlJc w:val="left"/>
      <w:pPr>
        <w:ind w:left="2685" w:hanging="360"/>
      </w:pPr>
    </w:lvl>
    <w:lvl w:ilvl="4" w:tplc="04060019" w:tentative="1">
      <w:start w:val="1"/>
      <w:numFmt w:val="lowerLetter"/>
      <w:lvlText w:val="%5."/>
      <w:lvlJc w:val="left"/>
      <w:pPr>
        <w:ind w:left="3405" w:hanging="360"/>
      </w:pPr>
    </w:lvl>
    <w:lvl w:ilvl="5" w:tplc="0406001B" w:tentative="1">
      <w:start w:val="1"/>
      <w:numFmt w:val="lowerRoman"/>
      <w:lvlText w:val="%6."/>
      <w:lvlJc w:val="right"/>
      <w:pPr>
        <w:ind w:left="4125" w:hanging="180"/>
      </w:pPr>
    </w:lvl>
    <w:lvl w:ilvl="6" w:tplc="0406000F" w:tentative="1">
      <w:start w:val="1"/>
      <w:numFmt w:val="decimal"/>
      <w:lvlText w:val="%7."/>
      <w:lvlJc w:val="left"/>
      <w:pPr>
        <w:ind w:left="4845" w:hanging="360"/>
      </w:pPr>
    </w:lvl>
    <w:lvl w:ilvl="7" w:tplc="04060019" w:tentative="1">
      <w:start w:val="1"/>
      <w:numFmt w:val="lowerLetter"/>
      <w:lvlText w:val="%8."/>
      <w:lvlJc w:val="left"/>
      <w:pPr>
        <w:ind w:left="5565" w:hanging="360"/>
      </w:pPr>
    </w:lvl>
    <w:lvl w:ilvl="8" w:tplc="0406001B" w:tentative="1">
      <w:start w:val="1"/>
      <w:numFmt w:val="lowerRoman"/>
      <w:lvlText w:val="%9."/>
      <w:lvlJc w:val="right"/>
      <w:pPr>
        <w:ind w:left="6285" w:hanging="180"/>
      </w:pPr>
    </w:lvl>
  </w:abstractNum>
  <w:abstractNum w:abstractNumId="14">
    <w:nsid w:val="28EF0D7A"/>
    <w:multiLevelType w:val="hybridMultilevel"/>
    <w:tmpl w:val="7F3478B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29443E4E"/>
    <w:multiLevelType w:val="multilevel"/>
    <w:tmpl w:val="C8503E2C"/>
    <w:lvl w:ilvl="0">
      <w:start w:val="2"/>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0373CE"/>
    <w:multiLevelType w:val="hybridMultilevel"/>
    <w:tmpl w:val="DEC85EE6"/>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E775509"/>
    <w:multiLevelType w:val="hybridMultilevel"/>
    <w:tmpl w:val="D6EE0C8E"/>
    <w:lvl w:ilvl="0" w:tplc="01AA40B4">
      <w:start w:val="1"/>
      <w:numFmt w:val="decimal"/>
      <w:lvlText w:val="%1)"/>
      <w:lvlJc w:val="left"/>
      <w:pPr>
        <w:ind w:left="720" w:hanging="360"/>
      </w:pPr>
      <w:rPr>
        <w:rFonts w:ascii="Times New Roman" w:eastAsia="Times New Roman" w:hAnsi="Times New Roman"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315C58D9"/>
    <w:multiLevelType w:val="hybridMultilevel"/>
    <w:tmpl w:val="C66CC0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17F00F6"/>
    <w:multiLevelType w:val="hybridMultilevel"/>
    <w:tmpl w:val="0ADAC4C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nsid w:val="343168EE"/>
    <w:multiLevelType w:val="hybridMultilevel"/>
    <w:tmpl w:val="2A86D6F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346A743A"/>
    <w:multiLevelType w:val="hybridMultilevel"/>
    <w:tmpl w:val="91DAC3D2"/>
    <w:lvl w:ilvl="0" w:tplc="FA1208C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6466092"/>
    <w:multiLevelType w:val="hybridMultilevel"/>
    <w:tmpl w:val="D1A65106"/>
    <w:lvl w:ilvl="0" w:tplc="4A3C6A2E">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6CA16E9"/>
    <w:multiLevelType w:val="multilevel"/>
    <w:tmpl w:val="507E50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A48148E"/>
    <w:multiLevelType w:val="hybridMultilevel"/>
    <w:tmpl w:val="991AE766"/>
    <w:lvl w:ilvl="0" w:tplc="06BA73EC">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ED94FBB"/>
    <w:multiLevelType w:val="hybridMultilevel"/>
    <w:tmpl w:val="BBF4158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40787C77"/>
    <w:multiLevelType w:val="hybridMultilevel"/>
    <w:tmpl w:val="9BB016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41B905D3"/>
    <w:multiLevelType w:val="multilevel"/>
    <w:tmpl w:val="23862C5A"/>
    <w:lvl w:ilvl="0">
      <w:start w:val="2"/>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3270216"/>
    <w:multiLevelType w:val="hybridMultilevel"/>
    <w:tmpl w:val="649AC71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45052671"/>
    <w:multiLevelType w:val="hybridMultilevel"/>
    <w:tmpl w:val="D82ED8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4CFD386F"/>
    <w:multiLevelType w:val="hybridMultilevel"/>
    <w:tmpl w:val="D23604B4"/>
    <w:lvl w:ilvl="0" w:tplc="92E00A5C">
      <w:numFmt w:val="bullet"/>
      <w:lvlText w:val="-"/>
      <w:lvlJc w:val="left"/>
      <w:pPr>
        <w:ind w:left="720" w:hanging="360"/>
      </w:pPr>
      <w:rPr>
        <w:rFonts w:ascii="Calibri" w:eastAsiaTheme="minorHAnsi" w:hAnsi="Calibri" w:cstheme="minorBidi" w:hint="default"/>
        <w:sz w:val="17"/>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4E3C0BA5"/>
    <w:multiLevelType w:val="hybridMultilevel"/>
    <w:tmpl w:val="50FAD85A"/>
    <w:lvl w:ilvl="0" w:tplc="86BEB146">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538D0EF2"/>
    <w:multiLevelType w:val="hybridMultilevel"/>
    <w:tmpl w:val="C69E35DC"/>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5DAE2FF7"/>
    <w:multiLevelType w:val="hybridMultilevel"/>
    <w:tmpl w:val="89889C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5E924F3F"/>
    <w:multiLevelType w:val="hybridMultilevel"/>
    <w:tmpl w:val="45B6CB1C"/>
    <w:lvl w:ilvl="0" w:tplc="0F244B5A">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5EE659EA"/>
    <w:multiLevelType w:val="hybridMultilevel"/>
    <w:tmpl w:val="A5D44D6C"/>
    <w:lvl w:ilvl="0" w:tplc="ED9AAC12">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629B26FC"/>
    <w:multiLevelType w:val="hybridMultilevel"/>
    <w:tmpl w:val="918C37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2A10FB9"/>
    <w:multiLevelType w:val="hybridMultilevel"/>
    <w:tmpl w:val="0B40E2E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62BE6B5A"/>
    <w:multiLevelType w:val="hybridMultilevel"/>
    <w:tmpl w:val="5ABE84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9">
    <w:nsid w:val="65C5751D"/>
    <w:multiLevelType w:val="hybridMultilevel"/>
    <w:tmpl w:val="38CC4006"/>
    <w:lvl w:ilvl="0" w:tplc="E5ACAA0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682B06CB"/>
    <w:multiLevelType w:val="hybridMultilevel"/>
    <w:tmpl w:val="ED9E4D2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nsid w:val="6A771D41"/>
    <w:multiLevelType w:val="multilevel"/>
    <w:tmpl w:val="C1821B94"/>
    <w:lvl w:ilvl="0">
      <w:start w:val="1"/>
      <w:numFmt w:val="decimal"/>
      <w:lvlText w:val="%1."/>
      <w:lvlJc w:val="left"/>
      <w:pPr>
        <w:ind w:left="525" w:hanging="360"/>
      </w:pPr>
      <w:rPr>
        <w:rFonts w:hint="default"/>
        <w:b/>
      </w:rPr>
    </w:lvl>
    <w:lvl w:ilvl="1">
      <w:start w:val="1"/>
      <w:numFmt w:val="decimal"/>
      <w:isLgl/>
      <w:lvlText w:val="%1.%2."/>
      <w:lvlJc w:val="left"/>
      <w:pPr>
        <w:ind w:left="525" w:hanging="360"/>
      </w:pPr>
      <w:rPr>
        <w:rFonts w:hint="default"/>
      </w:rPr>
    </w:lvl>
    <w:lvl w:ilvl="2">
      <w:start w:val="1"/>
      <w:numFmt w:val="decimal"/>
      <w:isLgl/>
      <w:lvlText w:val="%1.%2.%3."/>
      <w:lvlJc w:val="left"/>
      <w:pPr>
        <w:ind w:left="885" w:hanging="720"/>
      </w:pPr>
      <w:rPr>
        <w:rFonts w:hint="default"/>
      </w:rPr>
    </w:lvl>
    <w:lvl w:ilvl="3">
      <w:start w:val="1"/>
      <w:numFmt w:val="decimal"/>
      <w:isLgl/>
      <w:lvlText w:val="%1.%2.%3.%4."/>
      <w:lvlJc w:val="left"/>
      <w:pPr>
        <w:ind w:left="885" w:hanging="720"/>
      </w:pPr>
      <w:rPr>
        <w:rFonts w:hint="default"/>
      </w:rPr>
    </w:lvl>
    <w:lvl w:ilvl="4">
      <w:start w:val="1"/>
      <w:numFmt w:val="decimal"/>
      <w:isLgl/>
      <w:lvlText w:val="%1.%2.%3.%4.%5."/>
      <w:lvlJc w:val="left"/>
      <w:pPr>
        <w:ind w:left="1245" w:hanging="1080"/>
      </w:pPr>
      <w:rPr>
        <w:rFonts w:hint="default"/>
      </w:rPr>
    </w:lvl>
    <w:lvl w:ilvl="5">
      <w:start w:val="1"/>
      <w:numFmt w:val="decimal"/>
      <w:isLgl/>
      <w:lvlText w:val="%1.%2.%3.%4.%5.%6."/>
      <w:lvlJc w:val="left"/>
      <w:pPr>
        <w:ind w:left="1245" w:hanging="1080"/>
      </w:pPr>
      <w:rPr>
        <w:rFonts w:hint="default"/>
      </w:rPr>
    </w:lvl>
    <w:lvl w:ilvl="6">
      <w:start w:val="1"/>
      <w:numFmt w:val="decimal"/>
      <w:isLgl/>
      <w:lvlText w:val="%1.%2.%3.%4.%5.%6.%7."/>
      <w:lvlJc w:val="left"/>
      <w:pPr>
        <w:ind w:left="1605" w:hanging="1440"/>
      </w:pPr>
      <w:rPr>
        <w:rFonts w:hint="default"/>
      </w:rPr>
    </w:lvl>
    <w:lvl w:ilvl="7">
      <w:start w:val="1"/>
      <w:numFmt w:val="decimal"/>
      <w:isLgl/>
      <w:lvlText w:val="%1.%2.%3.%4.%5.%6.%7.%8."/>
      <w:lvlJc w:val="left"/>
      <w:pPr>
        <w:ind w:left="1605" w:hanging="1440"/>
      </w:pPr>
      <w:rPr>
        <w:rFonts w:hint="default"/>
      </w:rPr>
    </w:lvl>
    <w:lvl w:ilvl="8">
      <w:start w:val="1"/>
      <w:numFmt w:val="decimal"/>
      <w:isLgl/>
      <w:lvlText w:val="%1.%2.%3.%4.%5.%6.%7.%8.%9."/>
      <w:lvlJc w:val="left"/>
      <w:pPr>
        <w:ind w:left="1965" w:hanging="1800"/>
      </w:pPr>
      <w:rPr>
        <w:rFonts w:hint="default"/>
      </w:rPr>
    </w:lvl>
  </w:abstractNum>
  <w:abstractNum w:abstractNumId="42">
    <w:nsid w:val="77EA25B0"/>
    <w:multiLevelType w:val="hybridMultilevel"/>
    <w:tmpl w:val="1C7AE69C"/>
    <w:lvl w:ilvl="0" w:tplc="CDB2AE7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78FA5059"/>
    <w:multiLevelType w:val="hybridMultilevel"/>
    <w:tmpl w:val="91C0FC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nsid w:val="7C6F0870"/>
    <w:multiLevelType w:val="multilevel"/>
    <w:tmpl w:val="DD8CDF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CE0691C"/>
    <w:multiLevelType w:val="hybridMultilevel"/>
    <w:tmpl w:val="7A2C46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nsid w:val="7F3317E9"/>
    <w:multiLevelType w:val="hybridMultilevel"/>
    <w:tmpl w:val="DAD46ECE"/>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5"/>
  </w:num>
  <w:num w:numId="2">
    <w:abstractNumId w:val="32"/>
  </w:num>
  <w:num w:numId="3">
    <w:abstractNumId w:val="17"/>
  </w:num>
  <w:num w:numId="4">
    <w:abstractNumId w:val="29"/>
  </w:num>
  <w:num w:numId="5">
    <w:abstractNumId w:val="42"/>
  </w:num>
  <w:num w:numId="6">
    <w:abstractNumId w:val="6"/>
  </w:num>
  <w:num w:numId="7">
    <w:abstractNumId w:val="8"/>
  </w:num>
  <w:num w:numId="8">
    <w:abstractNumId w:val="28"/>
  </w:num>
  <w:num w:numId="9">
    <w:abstractNumId w:val="30"/>
  </w:num>
  <w:num w:numId="10">
    <w:abstractNumId w:val="39"/>
  </w:num>
  <w:num w:numId="11">
    <w:abstractNumId w:val="21"/>
  </w:num>
  <w:num w:numId="12">
    <w:abstractNumId w:val="45"/>
  </w:num>
  <w:num w:numId="13">
    <w:abstractNumId w:val="20"/>
  </w:num>
  <w:num w:numId="14">
    <w:abstractNumId w:val="37"/>
  </w:num>
  <w:num w:numId="15">
    <w:abstractNumId w:val="23"/>
  </w:num>
  <w:num w:numId="16">
    <w:abstractNumId w:val="26"/>
  </w:num>
  <w:num w:numId="17">
    <w:abstractNumId w:val="11"/>
  </w:num>
  <w:num w:numId="18">
    <w:abstractNumId w:val="13"/>
  </w:num>
  <w:num w:numId="19">
    <w:abstractNumId w:val="12"/>
  </w:num>
  <w:num w:numId="20">
    <w:abstractNumId w:val="35"/>
  </w:num>
  <w:num w:numId="21">
    <w:abstractNumId w:val="14"/>
  </w:num>
  <w:num w:numId="22">
    <w:abstractNumId w:val="38"/>
  </w:num>
  <w:num w:numId="23">
    <w:abstractNumId w:val="46"/>
  </w:num>
  <w:num w:numId="24">
    <w:abstractNumId w:val="43"/>
  </w:num>
  <w:num w:numId="25">
    <w:abstractNumId w:val="31"/>
  </w:num>
  <w:num w:numId="26">
    <w:abstractNumId w:val="19"/>
  </w:num>
  <w:num w:numId="27">
    <w:abstractNumId w:val="5"/>
  </w:num>
  <w:num w:numId="28">
    <w:abstractNumId w:val="4"/>
  </w:num>
  <w:num w:numId="29">
    <w:abstractNumId w:val="36"/>
  </w:num>
  <w:num w:numId="30">
    <w:abstractNumId w:val="22"/>
  </w:num>
  <w:num w:numId="31">
    <w:abstractNumId w:val="34"/>
  </w:num>
  <w:num w:numId="32">
    <w:abstractNumId w:val="40"/>
  </w:num>
  <w:num w:numId="33">
    <w:abstractNumId w:val="24"/>
  </w:num>
  <w:num w:numId="34">
    <w:abstractNumId w:val="16"/>
  </w:num>
  <w:num w:numId="35">
    <w:abstractNumId w:val="33"/>
  </w:num>
  <w:num w:numId="36">
    <w:abstractNumId w:val="41"/>
  </w:num>
  <w:num w:numId="37">
    <w:abstractNumId w:val="7"/>
  </w:num>
  <w:num w:numId="38">
    <w:abstractNumId w:val="1"/>
  </w:num>
  <w:num w:numId="39">
    <w:abstractNumId w:val="3"/>
  </w:num>
  <w:num w:numId="40">
    <w:abstractNumId w:val="0"/>
  </w:num>
  <w:num w:numId="41">
    <w:abstractNumId w:val="2"/>
  </w:num>
  <w:num w:numId="42">
    <w:abstractNumId w:val="18"/>
  </w:num>
  <w:num w:numId="43">
    <w:abstractNumId w:val="10"/>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27"/>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22"/>
    <w:rsid w:val="000002CB"/>
    <w:rsid w:val="00000620"/>
    <w:rsid w:val="00000644"/>
    <w:rsid w:val="000006A3"/>
    <w:rsid w:val="00000819"/>
    <w:rsid w:val="00000989"/>
    <w:rsid w:val="000014C1"/>
    <w:rsid w:val="00001D30"/>
    <w:rsid w:val="00002FBE"/>
    <w:rsid w:val="0000363C"/>
    <w:rsid w:val="00003B17"/>
    <w:rsid w:val="00003DC5"/>
    <w:rsid w:val="00004829"/>
    <w:rsid w:val="00004993"/>
    <w:rsid w:val="00004D43"/>
    <w:rsid w:val="000050A3"/>
    <w:rsid w:val="0000513A"/>
    <w:rsid w:val="000056B8"/>
    <w:rsid w:val="0000591B"/>
    <w:rsid w:val="000062EB"/>
    <w:rsid w:val="0000636C"/>
    <w:rsid w:val="000064C0"/>
    <w:rsid w:val="00006B78"/>
    <w:rsid w:val="00007B5F"/>
    <w:rsid w:val="00007C07"/>
    <w:rsid w:val="00011D78"/>
    <w:rsid w:val="00012B39"/>
    <w:rsid w:val="00012D74"/>
    <w:rsid w:val="00013379"/>
    <w:rsid w:val="000139D8"/>
    <w:rsid w:val="00014595"/>
    <w:rsid w:val="00014C01"/>
    <w:rsid w:val="00014CBF"/>
    <w:rsid w:val="00014D27"/>
    <w:rsid w:val="0001534B"/>
    <w:rsid w:val="000156C6"/>
    <w:rsid w:val="00015992"/>
    <w:rsid w:val="00016059"/>
    <w:rsid w:val="00016720"/>
    <w:rsid w:val="00016897"/>
    <w:rsid w:val="000177ED"/>
    <w:rsid w:val="000179FA"/>
    <w:rsid w:val="00017ABF"/>
    <w:rsid w:val="000201DC"/>
    <w:rsid w:val="00020BE5"/>
    <w:rsid w:val="00022379"/>
    <w:rsid w:val="00022393"/>
    <w:rsid w:val="000225CB"/>
    <w:rsid w:val="00022D29"/>
    <w:rsid w:val="00024B8D"/>
    <w:rsid w:val="00025810"/>
    <w:rsid w:val="000259FD"/>
    <w:rsid w:val="00025A6D"/>
    <w:rsid w:val="00026109"/>
    <w:rsid w:val="0002747F"/>
    <w:rsid w:val="00027639"/>
    <w:rsid w:val="000278B7"/>
    <w:rsid w:val="00027FD3"/>
    <w:rsid w:val="00030179"/>
    <w:rsid w:val="00030923"/>
    <w:rsid w:val="00030BFE"/>
    <w:rsid w:val="000310A2"/>
    <w:rsid w:val="000315F8"/>
    <w:rsid w:val="00031832"/>
    <w:rsid w:val="00032541"/>
    <w:rsid w:val="0003255B"/>
    <w:rsid w:val="00032A38"/>
    <w:rsid w:val="00032B08"/>
    <w:rsid w:val="00032BFD"/>
    <w:rsid w:val="000337D7"/>
    <w:rsid w:val="00033999"/>
    <w:rsid w:val="00034C70"/>
    <w:rsid w:val="000350DF"/>
    <w:rsid w:val="00035F77"/>
    <w:rsid w:val="0003630A"/>
    <w:rsid w:val="000367D8"/>
    <w:rsid w:val="0003757F"/>
    <w:rsid w:val="00037FA3"/>
    <w:rsid w:val="00040797"/>
    <w:rsid w:val="0004189D"/>
    <w:rsid w:val="0004208F"/>
    <w:rsid w:val="00042A39"/>
    <w:rsid w:val="00043076"/>
    <w:rsid w:val="00043BC8"/>
    <w:rsid w:val="00045561"/>
    <w:rsid w:val="00045593"/>
    <w:rsid w:val="0004581F"/>
    <w:rsid w:val="000459F0"/>
    <w:rsid w:val="00046B17"/>
    <w:rsid w:val="00047C77"/>
    <w:rsid w:val="0005055D"/>
    <w:rsid w:val="00050BE2"/>
    <w:rsid w:val="0005169A"/>
    <w:rsid w:val="00051F54"/>
    <w:rsid w:val="00052671"/>
    <w:rsid w:val="00052D62"/>
    <w:rsid w:val="00052E9B"/>
    <w:rsid w:val="00052FD8"/>
    <w:rsid w:val="00053746"/>
    <w:rsid w:val="00053E4C"/>
    <w:rsid w:val="00054099"/>
    <w:rsid w:val="00055A04"/>
    <w:rsid w:val="00056D61"/>
    <w:rsid w:val="00056F6F"/>
    <w:rsid w:val="000603CE"/>
    <w:rsid w:val="000605D9"/>
    <w:rsid w:val="00060A41"/>
    <w:rsid w:val="0006121E"/>
    <w:rsid w:val="000612B1"/>
    <w:rsid w:val="000617F2"/>
    <w:rsid w:val="000624AE"/>
    <w:rsid w:val="00062810"/>
    <w:rsid w:val="0006307D"/>
    <w:rsid w:val="0006362A"/>
    <w:rsid w:val="00064745"/>
    <w:rsid w:val="0006484C"/>
    <w:rsid w:val="0006554B"/>
    <w:rsid w:val="00065F50"/>
    <w:rsid w:val="0006607C"/>
    <w:rsid w:val="0006777D"/>
    <w:rsid w:val="000707E9"/>
    <w:rsid w:val="00070D8F"/>
    <w:rsid w:val="00071280"/>
    <w:rsid w:val="0007195C"/>
    <w:rsid w:val="00071B39"/>
    <w:rsid w:val="00071DAA"/>
    <w:rsid w:val="000726B8"/>
    <w:rsid w:val="0007342E"/>
    <w:rsid w:val="0007384D"/>
    <w:rsid w:val="00073934"/>
    <w:rsid w:val="00075527"/>
    <w:rsid w:val="00076032"/>
    <w:rsid w:val="0007655B"/>
    <w:rsid w:val="00080516"/>
    <w:rsid w:val="00080B35"/>
    <w:rsid w:val="00082852"/>
    <w:rsid w:val="00082E03"/>
    <w:rsid w:val="0008414A"/>
    <w:rsid w:val="0008435F"/>
    <w:rsid w:val="000843FB"/>
    <w:rsid w:val="000846B1"/>
    <w:rsid w:val="000863FD"/>
    <w:rsid w:val="00086644"/>
    <w:rsid w:val="00086664"/>
    <w:rsid w:val="000866A2"/>
    <w:rsid w:val="00086CF7"/>
    <w:rsid w:val="00087530"/>
    <w:rsid w:val="00087AE6"/>
    <w:rsid w:val="00090082"/>
    <w:rsid w:val="00091571"/>
    <w:rsid w:val="00091A78"/>
    <w:rsid w:val="0009318A"/>
    <w:rsid w:val="000937A8"/>
    <w:rsid w:val="000938A6"/>
    <w:rsid w:val="00094421"/>
    <w:rsid w:val="00095231"/>
    <w:rsid w:val="000961CE"/>
    <w:rsid w:val="0009653C"/>
    <w:rsid w:val="00096C18"/>
    <w:rsid w:val="00096E61"/>
    <w:rsid w:val="00097086"/>
    <w:rsid w:val="00097171"/>
    <w:rsid w:val="00097C31"/>
    <w:rsid w:val="000A08EF"/>
    <w:rsid w:val="000A0B09"/>
    <w:rsid w:val="000A0DAA"/>
    <w:rsid w:val="000A0EFD"/>
    <w:rsid w:val="000A1A0A"/>
    <w:rsid w:val="000A1A44"/>
    <w:rsid w:val="000A26CB"/>
    <w:rsid w:val="000A2D5F"/>
    <w:rsid w:val="000A3346"/>
    <w:rsid w:val="000A3DA8"/>
    <w:rsid w:val="000A4C66"/>
    <w:rsid w:val="000A4E3C"/>
    <w:rsid w:val="000A5135"/>
    <w:rsid w:val="000A5C51"/>
    <w:rsid w:val="000A6157"/>
    <w:rsid w:val="000A6528"/>
    <w:rsid w:val="000A691E"/>
    <w:rsid w:val="000A6FAA"/>
    <w:rsid w:val="000A79A9"/>
    <w:rsid w:val="000A7A35"/>
    <w:rsid w:val="000A7B3C"/>
    <w:rsid w:val="000A7CF2"/>
    <w:rsid w:val="000B0866"/>
    <w:rsid w:val="000B0B31"/>
    <w:rsid w:val="000B13B8"/>
    <w:rsid w:val="000B13FE"/>
    <w:rsid w:val="000B1F5B"/>
    <w:rsid w:val="000B21BE"/>
    <w:rsid w:val="000B29F7"/>
    <w:rsid w:val="000B2CCF"/>
    <w:rsid w:val="000B2DB2"/>
    <w:rsid w:val="000B30A8"/>
    <w:rsid w:val="000B3AB4"/>
    <w:rsid w:val="000B459E"/>
    <w:rsid w:val="000B4618"/>
    <w:rsid w:val="000B4682"/>
    <w:rsid w:val="000B4B89"/>
    <w:rsid w:val="000B52A0"/>
    <w:rsid w:val="000B5C59"/>
    <w:rsid w:val="000B5DDB"/>
    <w:rsid w:val="000B72F3"/>
    <w:rsid w:val="000B74E2"/>
    <w:rsid w:val="000C02EE"/>
    <w:rsid w:val="000C033D"/>
    <w:rsid w:val="000C04B9"/>
    <w:rsid w:val="000C055A"/>
    <w:rsid w:val="000C0622"/>
    <w:rsid w:val="000C105C"/>
    <w:rsid w:val="000C1917"/>
    <w:rsid w:val="000C1AA4"/>
    <w:rsid w:val="000C1C38"/>
    <w:rsid w:val="000C2B2B"/>
    <w:rsid w:val="000C334E"/>
    <w:rsid w:val="000C3465"/>
    <w:rsid w:val="000C35FA"/>
    <w:rsid w:val="000C3FD2"/>
    <w:rsid w:val="000C4EDC"/>
    <w:rsid w:val="000C4F90"/>
    <w:rsid w:val="000C526F"/>
    <w:rsid w:val="000C5994"/>
    <w:rsid w:val="000C5B3F"/>
    <w:rsid w:val="000C5BC4"/>
    <w:rsid w:val="000C5CE5"/>
    <w:rsid w:val="000C6287"/>
    <w:rsid w:val="000C631D"/>
    <w:rsid w:val="000C6360"/>
    <w:rsid w:val="000C681D"/>
    <w:rsid w:val="000C6B79"/>
    <w:rsid w:val="000C6CCE"/>
    <w:rsid w:val="000C6EC1"/>
    <w:rsid w:val="000C70EB"/>
    <w:rsid w:val="000C77B9"/>
    <w:rsid w:val="000C7A96"/>
    <w:rsid w:val="000C7B7D"/>
    <w:rsid w:val="000D0D0A"/>
    <w:rsid w:val="000D197D"/>
    <w:rsid w:val="000D1F4E"/>
    <w:rsid w:val="000D28A3"/>
    <w:rsid w:val="000D2998"/>
    <w:rsid w:val="000D4E36"/>
    <w:rsid w:val="000D50F2"/>
    <w:rsid w:val="000D51CE"/>
    <w:rsid w:val="000D5879"/>
    <w:rsid w:val="000D660C"/>
    <w:rsid w:val="000D7063"/>
    <w:rsid w:val="000E0CBD"/>
    <w:rsid w:val="000E0F62"/>
    <w:rsid w:val="000E1854"/>
    <w:rsid w:val="000E1FD8"/>
    <w:rsid w:val="000E316B"/>
    <w:rsid w:val="000E3208"/>
    <w:rsid w:val="000E36A5"/>
    <w:rsid w:val="000E3D4E"/>
    <w:rsid w:val="000E4A2B"/>
    <w:rsid w:val="000E4C27"/>
    <w:rsid w:val="000E5AE2"/>
    <w:rsid w:val="000E5F57"/>
    <w:rsid w:val="000E5FFB"/>
    <w:rsid w:val="000E6156"/>
    <w:rsid w:val="000E7824"/>
    <w:rsid w:val="000F0089"/>
    <w:rsid w:val="000F0615"/>
    <w:rsid w:val="000F06DD"/>
    <w:rsid w:val="000F157B"/>
    <w:rsid w:val="000F19BA"/>
    <w:rsid w:val="000F2565"/>
    <w:rsid w:val="000F2D9F"/>
    <w:rsid w:val="000F3883"/>
    <w:rsid w:val="000F4041"/>
    <w:rsid w:val="000F40B6"/>
    <w:rsid w:val="000F4D25"/>
    <w:rsid w:val="000F5FC9"/>
    <w:rsid w:val="000F60EE"/>
    <w:rsid w:val="000F6189"/>
    <w:rsid w:val="000F6B36"/>
    <w:rsid w:val="000F72FD"/>
    <w:rsid w:val="000F7A50"/>
    <w:rsid w:val="000F7A6F"/>
    <w:rsid w:val="000F7FD2"/>
    <w:rsid w:val="00100054"/>
    <w:rsid w:val="0010066E"/>
    <w:rsid w:val="00100C89"/>
    <w:rsid w:val="00101487"/>
    <w:rsid w:val="001016ED"/>
    <w:rsid w:val="001022EC"/>
    <w:rsid w:val="00102FD8"/>
    <w:rsid w:val="00103757"/>
    <w:rsid w:val="0010480F"/>
    <w:rsid w:val="00105782"/>
    <w:rsid w:val="00107991"/>
    <w:rsid w:val="00107E49"/>
    <w:rsid w:val="001103F3"/>
    <w:rsid w:val="00110600"/>
    <w:rsid w:val="00111B4F"/>
    <w:rsid w:val="00111EDE"/>
    <w:rsid w:val="0011270A"/>
    <w:rsid w:val="001128BE"/>
    <w:rsid w:val="0011297C"/>
    <w:rsid w:val="00112982"/>
    <w:rsid w:val="00113782"/>
    <w:rsid w:val="00113ECC"/>
    <w:rsid w:val="00113F95"/>
    <w:rsid w:val="001155E5"/>
    <w:rsid w:val="00115AE9"/>
    <w:rsid w:val="00115E13"/>
    <w:rsid w:val="001168C4"/>
    <w:rsid w:val="00116CFF"/>
    <w:rsid w:val="00116F59"/>
    <w:rsid w:val="00116F5C"/>
    <w:rsid w:val="0011733D"/>
    <w:rsid w:val="00120134"/>
    <w:rsid w:val="00121057"/>
    <w:rsid w:val="00121096"/>
    <w:rsid w:val="001215AF"/>
    <w:rsid w:val="001218F4"/>
    <w:rsid w:val="001227A6"/>
    <w:rsid w:val="00123F5E"/>
    <w:rsid w:val="00123FE0"/>
    <w:rsid w:val="0012550E"/>
    <w:rsid w:val="001258D7"/>
    <w:rsid w:val="00125B16"/>
    <w:rsid w:val="00125D10"/>
    <w:rsid w:val="0012631D"/>
    <w:rsid w:val="001264D5"/>
    <w:rsid w:val="001266FA"/>
    <w:rsid w:val="00127184"/>
    <w:rsid w:val="0012722F"/>
    <w:rsid w:val="0012771F"/>
    <w:rsid w:val="001278B9"/>
    <w:rsid w:val="00127A35"/>
    <w:rsid w:val="00127C03"/>
    <w:rsid w:val="00130242"/>
    <w:rsid w:val="00131B54"/>
    <w:rsid w:val="001330EA"/>
    <w:rsid w:val="00133121"/>
    <w:rsid w:val="0013392F"/>
    <w:rsid w:val="00133E78"/>
    <w:rsid w:val="00134304"/>
    <w:rsid w:val="0013436A"/>
    <w:rsid w:val="001343EA"/>
    <w:rsid w:val="00135ADE"/>
    <w:rsid w:val="0013611E"/>
    <w:rsid w:val="00137837"/>
    <w:rsid w:val="00137889"/>
    <w:rsid w:val="00137C8D"/>
    <w:rsid w:val="0014055D"/>
    <w:rsid w:val="00140818"/>
    <w:rsid w:val="00140D7C"/>
    <w:rsid w:val="00141634"/>
    <w:rsid w:val="0014175C"/>
    <w:rsid w:val="00142535"/>
    <w:rsid w:val="00142B44"/>
    <w:rsid w:val="00143147"/>
    <w:rsid w:val="00143149"/>
    <w:rsid w:val="0014331E"/>
    <w:rsid w:val="00143D5E"/>
    <w:rsid w:val="00143E34"/>
    <w:rsid w:val="0014439F"/>
    <w:rsid w:val="00144524"/>
    <w:rsid w:val="0014484B"/>
    <w:rsid w:val="00145696"/>
    <w:rsid w:val="00146E79"/>
    <w:rsid w:val="001471BE"/>
    <w:rsid w:val="00147F25"/>
    <w:rsid w:val="001511E7"/>
    <w:rsid w:val="00151678"/>
    <w:rsid w:val="00151817"/>
    <w:rsid w:val="00151F80"/>
    <w:rsid w:val="00152374"/>
    <w:rsid w:val="001527B6"/>
    <w:rsid w:val="0015380F"/>
    <w:rsid w:val="00155E70"/>
    <w:rsid w:val="00155F16"/>
    <w:rsid w:val="0015603D"/>
    <w:rsid w:val="00156373"/>
    <w:rsid w:val="001563ED"/>
    <w:rsid w:val="001567C5"/>
    <w:rsid w:val="00156EF9"/>
    <w:rsid w:val="001571B6"/>
    <w:rsid w:val="00157655"/>
    <w:rsid w:val="00157CE7"/>
    <w:rsid w:val="00161755"/>
    <w:rsid w:val="0016270D"/>
    <w:rsid w:val="001639AB"/>
    <w:rsid w:val="00164949"/>
    <w:rsid w:val="00165DFC"/>
    <w:rsid w:val="00165F70"/>
    <w:rsid w:val="00166A79"/>
    <w:rsid w:val="00167320"/>
    <w:rsid w:val="0016758B"/>
    <w:rsid w:val="001678BB"/>
    <w:rsid w:val="00170514"/>
    <w:rsid w:val="001705F1"/>
    <w:rsid w:val="001706F6"/>
    <w:rsid w:val="00170920"/>
    <w:rsid w:val="00170F43"/>
    <w:rsid w:val="001715D4"/>
    <w:rsid w:val="001716ED"/>
    <w:rsid w:val="00171B9B"/>
    <w:rsid w:val="00171C4C"/>
    <w:rsid w:val="00171F79"/>
    <w:rsid w:val="001724FB"/>
    <w:rsid w:val="00173F41"/>
    <w:rsid w:val="00174040"/>
    <w:rsid w:val="001742A2"/>
    <w:rsid w:val="00174B02"/>
    <w:rsid w:val="00174B64"/>
    <w:rsid w:val="00174F91"/>
    <w:rsid w:val="001752A1"/>
    <w:rsid w:val="00175A31"/>
    <w:rsid w:val="00175DB0"/>
    <w:rsid w:val="001764AF"/>
    <w:rsid w:val="001769E9"/>
    <w:rsid w:val="00177502"/>
    <w:rsid w:val="00177A99"/>
    <w:rsid w:val="00177B9B"/>
    <w:rsid w:val="0018007E"/>
    <w:rsid w:val="001805E1"/>
    <w:rsid w:val="00180A18"/>
    <w:rsid w:val="00180EC9"/>
    <w:rsid w:val="00181266"/>
    <w:rsid w:val="0018342C"/>
    <w:rsid w:val="001834B3"/>
    <w:rsid w:val="0018384D"/>
    <w:rsid w:val="00184338"/>
    <w:rsid w:val="00184755"/>
    <w:rsid w:val="00185777"/>
    <w:rsid w:val="001864A3"/>
    <w:rsid w:val="00187239"/>
    <w:rsid w:val="0018760E"/>
    <w:rsid w:val="00187653"/>
    <w:rsid w:val="001876FF"/>
    <w:rsid w:val="001878C1"/>
    <w:rsid w:val="00187F6B"/>
    <w:rsid w:val="00190283"/>
    <w:rsid w:val="00190B83"/>
    <w:rsid w:val="00191215"/>
    <w:rsid w:val="0019252A"/>
    <w:rsid w:val="00192F9E"/>
    <w:rsid w:val="00193BFE"/>
    <w:rsid w:val="00194AB3"/>
    <w:rsid w:val="00194E29"/>
    <w:rsid w:val="00195099"/>
    <w:rsid w:val="00195528"/>
    <w:rsid w:val="00195BD6"/>
    <w:rsid w:val="00196639"/>
    <w:rsid w:val="0019711E"/>
    <w:rsid w:val="00197B1E"/>
    <w:rsid w:val="001A048E"/>
    <w:rsid w:val="001A055C"/>
    <w:rsid w:val="001A14C0"/>
    <w:rsid w:val="001A1863"/>
    <w:rsid w:val="001A1C98"/>
    <w:rsid w:val="001A2834"/>
    <w:rsid w:val="001A3B53"/>
    <w:rsid w:val="001A3D74"/>
    <w:rsid w:val="001A3F25"/>
    <w:rsid w:val="001A419E"/>
    <w:rsid w:val="001A6BAD"/>
    <w:rsid w:val="001A6BB8"/>
    <w:rsid w:val="001A6D99"/>
    <w:rsid w:val="001A7819"/>
    <w:rsid w:val="001B26F3"/>
    <w:rsid w:val="001B386C"/>
    <w:rsid w:val="001B50DD"/>
    <w:rsid w:val="001B57CE"/>
    <w:rsid w:val="001B5A55"/>
    <w:rsid w:val="001B5B3A"/>
    <w:rsid w:val="001B5F74"/>
    <w:rsid w:val="001B6A58"/>
    <w:rsid w:val="001B6EE8"/>
    <w:rsid w:val="001B726F"/>
    <w:rsid w:val="001C03D8"/>
    <w:rsid w:val="001C0F84"/>
    <w:rsid w:val="001C10F8"/>
    <w:rsid w:val="001C1155"/>
    <w:rsid w:val="001C2C6F"/>
    <w:rsid w:val="001C2DA0"/>
    <w:rsid w:val="001C31A8"/>
    <w:rsid w:val="001C343F"/>
    <w:rsid w:val="001C3D32"/>
    <w:rsid w:val="001C3FC4"/>
    <w:rsid w:val="001C430E"/>
    <w:rsid w:val="001C436E"/>
    <w:rsid w:val="001C4925"/>
    <w:rsid w:val="001C4D79"/>
    <w:rsid w:val="001C54E7"/>
    <w:rsid w:val="001C6BF6"/>
    <w:rsid w:val="001C7428"/>
    <w:rsid w:val="001C771C"/>
    <w:rsid w:val="001C7DDC"/>
    <w:rsid w:val="001D058E"/>
    <w:rsid w:val="001D0949"/>
    <w:rsid w:val="001D1727"/>
    <w:rsid w:val="001D20E7"/>
    <w:rsid w:val="001D21AF"/>
    <w:rsid w:val="001D300A"/>
    <w:rsid w:val="001D4C72"/>
    <w:rsid w:val="001D4C9D"/>
    <w:rsid w:val="001D66D8"/>
    <w:rsid w:val="001D6A1D"/>
    <w:rsid w:val="001D7E16"/>
    <w:rsid w:val="001E06A2"/>
    <w:rsid w:val="001E07B6"/>
    <w:rsid w:val="001E1503"/>
    <w:rsid w:val="001E1588"/>
    <w:rsid w:val="001E1DF1"/>
    <w:rsid w:val="001E2DF0"/>
    <w:rsid w:val="001E374C"/>
    <w:rsid w:val="001E376B"/>
    <w:rsid w:val="001E39A1"/>
    <w:rsid w:val="001E43C0"/>
    <w:rsid w:val="001E4E7D"/>
    <w:rsid w:val="001E5840"/>
    <w:rsid w:val="001E5950"/>
    <w:rsid w:val="001E646E"/>
    <w:rsid w:val="001E7316"/>
    <w:rsid w:val="001E7B9A"/>
    <w:rsid w:val="001F0759"/>
    <w:rsid w:val="001F0995"/>
    <w:rsid w:val="001F0B24"/>
    <w:rsid w:val="001F133C"/>
    <w:rsid w:val="001F1BD2"/>
    <w:rsid w:val="001F1E13"/>
    <w:rsid w:val="001F1E1E"/>
    <w:rsid w:val="001F248C"/>
    <w:rsid w:val="001F2617"/>
    <w:rsid w:val="001F2BC7"/>
    <w:rsid w:val="001F341A"/>
    <w:rsid w:val="001F38A4"/>
    <w:rsid w:val="001F3D6C"/>
    <w:rsid w:val="001F42A0"/>
    <w:rsid w:val="001F4578"/>
    <w:rsid w:val="001F4896"/>
    <w:rsid w:val="001F6614"/>
    <w:rsid w:val="001F6C96"/>
    <w:rsid w:val="001F6E05"/>
    <w:rsid w:val="001F6FAC"/>
    <w:rsid w:val="001F7499"/>
    <w:rsid w:val="001F768E"/>
    <w:rsid w:val="001F7855"/>
    <w:rsid w:val="001F7C5C"/>
    <w:rsid w:val="001F7EF4"/>
    <w:rsid w:val="00200453"/>
    <w:rsid w:val="00201165"/>
    <w:rsid w:val="00201600"/>
    <w:rsid w:val="00201CAC"/>
    <w:rsid w:val="00202508"/>
    <w:rsid w:val="00203341"/>
    <w:rsid w:val="00203383"/>
    <w:rsid w:val="002039EB"/>
    <w:rsid w:val="00203C2C"/>
    <w:rsid w:val="002043FA"/>
    <w:rsid w:val="002046DF"/>
    <w:rsid w:val="00205223"/>
    <w:rsid w:val="002057E2"/>
    <w:rsid w:val="00205D40"/>
    <w:rsid w:val="00206E12"/>
    <w:rsid w:val="002073A9"/>
    <w:rsid w:val="0021045F"/>
    <w:rsid w:val="002111C6"/>
    <w:rsid w:val="002112BA"/>
    <w:rsid w:val="002114AD"/>
    <w:rsid w:val="00211AC7"/>
    <w:rsid w:val="00211B46"/>
    <w:rsid w:val="002122F4"/>
    <w:rsid w:val="002122F6"/>
    <w:rsid w:val="0021245D"/>
    <w:rsid w:val="002130E5"/>
    <w:rsid w:val="002131CA"/>
    <w:rsid w:val="002134FA"/>
    <w:rsid w:val="002143C0"/>
    <w:rsid w:val="002144D8"/>
    <w:rsid w:val="00214725"/>
    <w:rsid w:val="00214CA3"/>
    <w:rsid w:val="00215307"/>
    <w:rsid w:val="00215382"/>
    <w:rsid w:val="00215831"/>
    <w:rsid w:val="00215C4A"/>
    <w:rsid w:val="00216455"/>
    <w:rsid w:val="00216601"/>
    <w:rsid w:val="00216D0E"/>
    <w:rsid w:val="0021775E"/>
    <w:rsid w:val="00217A7B"/>
    <w:rsid w:val="00217D06"/>
    <w:rsid w:val="0022100B"/>
    <w:rsid w:val="00221253"/>
    <w:rsid w:val="00221306"/>
    <w:rsid w:val="00221428"/>
    <w:rsid w:val="00223168"/>
    <w:rsid w:val="00223B2E"/>
    <w:rsid w:val="00224036"/>
    <w:rsid w:val="00224D52"/>
    <w:rsid w:val="00224E98"/>
    <w:rsid w:val="002258D5"/>
    <w:rsid w:val="002263D5"/>
    <w:rsid w:val="0022713F"/>
    <w:rsid w:val="00230459"/>
    <w:rsid w:val="00230514"/>
    <w:rsid w:val="00230931"/>
    <w:rsid w:val="00231009"/>
    <w:rsid w:val="00231F11"/>
    <w:rsid w:val="002322A0"/>
    <w:rsid w:val="00233C81"/>
    <w:rsid w:val="00233E44"/>
    <w:rsid w:val="00233F19"/>
    <w:rsid w:val="002353FD"/>
    <w:rsid w:val="002354A5"/>
    <w:rsid w:val="002359C3"/>
    <w:rsid w:val="002367ED"/>
    <w:rsid w:val="0023698D"/>
    <w:rsid w:val="00237AE0"/>
    <w:rsid w:val="00241CC7"/>
    <w:rsid w:val="00241E85"/>
    <w:rsid w:val="0024214D"/>
    <w:rsid w:val="002422CC"/>
    <w:rsid w:val="00242E3C"/>
    <w:rsid w:val="00243E11"/>
    <w:rsid w:val="002454BB"/>
    <w:rsid w:val="0024582F"/>
    <w:rsid w:val="00246C8E"/>
    <w:rsid w:val="00246F53"/>
    <w:rsid w:val="00247CBD"/>
    <w:rsid w:val="00247FF5"/>
    <w:rsid w:val="0025020F"/>
    <w:rsid w:val="00250803"/>
    <w:rsid w:val="00250D12"/>
    <w:rsid w:val="002513FD"/>
    <w:rsid w:val="00251820"/>
    <w:rsid w:val="00251ECC"/>
    <w:rsid w:val="00251FBA"/>
    <w:rsid w:val="002528A2"/>
    <w:rsid w:val="00254266"/>
    <w:rsid w:val="00254391"/>
    <w:rsid w:val="00255A8D"/>
    <w:rsid w:val="00255BCC"/>
    <w:rsid w:val="00260F66"/>
    <w:rsid w:val="00261C46"/>
    <w:rsid w:val="00262009"/>
    <w:rsid w:val="0026251A"/>
    <w:rsid w:val="002625CD"/>
    <w:rsid w:val="002628D6"/>
    <w:rsid w:val="002628DC"/>
    <w:rsid w:val="00264B2B"/>
    <w:rsid w:val="00265218"/>
    <w:rsid w:val="0026562F"/>
    <w:rsid w:val="0026632C"/>
    <w:rsid w:val="00266A9F"/>
    <w:rsid w:val="00267856"/>
    <w:rsid w:val="00270644"/>
    <w:rsid w:val="002714A8"/>
    <w:rsid w:val="0027213A"/>
    <w:rsid w:val="002722D7"/>
    <w:rsid w:val="00272F9C"/>
    <w:rsid w:val="00272FEF"/>
    <w:rsid w:val="002730EE"/>
    <w:rsid w:val="0027350B"/>
    <w:rsid w:val="00273C74"/>
    <w:rsid w:val="0027446B"/>
    <w:rsid w:val="00274B07"/>
    <w:rsid w:val="00275170"/>
    <w:rsid w:val="002753AC"/>
    <w:rsid w:val="00275546"/>
    <w:rsid w:val="00276A89"/>
    <w:rsid w:val="002778C7"/>
    <w:rsid w:val="00277A3F"/>
    <w:rsid w:val="00277A5D"/>
    <w:rsid w:val="00277C42"/>
    <w:rsid w:val="00277F47"/>
    <w:rsid w:val="002803FC"/>
    <w:rsid w:val="002805DB"/>
    <w:rsid w:val="00280D01"/>
    <w:rsid w:val="0028130A"/>
    <w:rsid w:val="002815DC"/>
    <w:rsid w:val="00281C97"/>
    <w:rsid w:val="00282759"/>
    <w:rsid w:val="00282960"/>
    <w:rsid w:val="00282FCE"/>
    <w:rsid w:val="002831DE"/>
    <w:rsid w:val="00283AC1"/>
    <w:rsid w:val="0028469D"/>
    <w:rsid w:val="00284AE8"/>
    <w:rsid w:val="00285855"/>
    <w:rsid w:val="002858AA"/>
    <w:rsid w:val="00285E0A"/>
    <w:rsid w:val="0028614F"/>
    <w:rsid w:val="0028639D"/>
    <w:rsid w:val="00286513"/>
    <w:rsid w:val="0028696F"/>
    <w:rsid w:val="00287024"/>
    <w:rsid w:val="00287AD6"/>
    <w:rsid w:val="00287C8C"/>
    <w:rsid w:val="00290261"/>
    <w:rsid w:val="002904C4"/>
    <w:rsid w:val="00291249"/>
    <w:rsid w:val="00291913"/>
    <w:rsid w:val="00291AB3"/>
    <w:rsid w:val="00292128"/>
    <w:rsid w:val="002929AC"/>
    <w:rsid w:val="002944C2"/>
    <w:rsid w:val="00294601"/>
    <w:rsid w:val="002948E3"/>
    <w:rsid w:val="00294D70"/>
    <w:rsid w:val="002957D8"/>
    <w:rsid w:val="00295876"/>
    <w:rsid w:val="002959E7"/>
    <w:rsid w:val="00295A2D"/>
    <w:rsid w:val="00295B08"/>
    <w:rsid w:val="0029645C"/>
    <w:rsid w:val="00296700"/>
    <w:rsid w:val="0029754D"/>
    <w:rsid w:val="00297D1D"/>
    <w:rsid w:val="002A084D"/>
    <w:rsid w:val="002A1528"/>
    <w:rsid w:val="002A170F"/>
    <w:rsid w:val="002A22A9"/>
    <w:rsid w:val="002A27AC"/>
    <w:rsid w:val="002A2928"/>
    <w:rsid w:val="002A39C5"/>
    <w:rsid w:val="002A3B8B"/>
    <w:rsid w:val="002A526F"/>
    <w:rsid w:val="002A53B5"/>
    <w:rsid w:val="002A699F"/>
    <w:rsid w:val="002A6FC7"/>
    <w:rsid w:val="002A7C06"/>
    <w:rsid w:val="002B0201"/>
    <w:rsid w:val="002B0619"/>
    <w:rsid w:val="002B090D"/>
    <w:rsid w:val="002B14A9"/>
    <w:rsid w:val="002B1FD5"/>
    <w:rsid w:val="002B223E"/>
    <w:rsid w:val="002B2D91"/>
    <w:rsid w:val="002B313D"/>
    <w:rsid w:val="002B31CC"/>
    <w:rsid w:val="002B371C"/>
    <w:rsid w:val="002B3867"/>
    <w:rsid w:val="002B436B"/>
    <w:rsid w:val="002B50A0"/>
    <w:rsid w:val="002B57CE"/>
    <w:rsid w:val="002B6961"/>
    <w:rsid w:val="002B69C5"/>
    <w:rsid w:val="002B7383"/>
    <w:rsid w:val="002B77B6"/>
    <w:rsid w:val="002C03E0"/>
    <w:rsid w:val="002C0428"/>
    <w:rsid w:val="002C0A64"/>
    <w:rsid w:val="002C13E1"/>
    <w:rsid w:val="002C218B"/>
    <w:rsid w:val="002C27A1"/>
    <w:rsid w:val="002C4570"/>
    <w:rsid w:val="002C476B"/>
    <w:rsid w:val="002C52CD"/>
    <w:rsid w:val="002C59B2"/>
    <w:rsid w:val="002C5C64"/>
    <w:rsid w:val="002C5CA1"/>
    <w:rsid w:val="002C5EA5"/>
    <w:rsid w:val="002C63AC"/>
    <w:rsid w:val="002C64C7"/>
    <w:rsid w:val="002C7ACD"/>
    <w:rsid w:val="002C7D63"/>
    <w:rsid w:val="002D01C4"/>
    <w:rsid w:val="002D04F6"/>
    <w:rsid w:val="002D0A94"/>
    <w:rsid w:val="002D12C1"/>
    <w:rsid w:val="002D1ADA"/>
    <w:rsid w:val="002D229C"/>
    <w:rsid w:val="002D24DE"/>
    <w:rsid w:val="002D2529"/>
    <w:rsid w:val="002D26E5"/>
    <w:rsid w:val="002D2765"/>
    <w:rsid w:val="002D29FD"/>
    <w:rsid w:val="002D2EB3"/>
    <w:rsid w:val="002D3CE3"/>
    <w:rsid w:val="002D45ED"/>
    <w:rsid w:val="002D4867"/>
    <w:rsid w:val="002D5222"/>
    <w:rsid w:val="002D5B65"/>
    <w:rsid w:val="002D716E"/>
    <w:rsid w:val="002D77B3"/>
    <w:rsid w:val="002D7929"/>
    <w:rsid w:val="002E072B"/>
    <w:rsid w:val="002E0982"/>
    <w:rsid w:val="002E0A67"/>
    <w:rsid w:val="002E0C4B"/>
    <w:rsid w:val="002E1EDE"/>
    <w:rsid w:val="002E25E4"/>
    <w:rsid w:val="002E2B0B"/>
    <w:rsid w:val="002E2CBA"/>
    <w:rsid w:val="002E3125"/>
    <w:rsid w:val="002E3826"/>
    <w:rsid w:val="002E3A4C"/>
    <w:rsid w:val="002E3D1A"/>
    <w:rsid w:val="002E41AB"/>
    <w:rsid w:val="002E46F9"/>
    <w:rsid w:val="002E4ADB"/>
    <w:rsid w:val="002E4DBA"/>
    <w:rsid w:val="002E7459"/>
    <w:rsid w:val="002E7AC9"/>
    <w:rsid w:val="002E7E6F"/>
    <w:rsid w:val="002F0203"/>
    <w:rsid w:val="002F03AE"/>
    <w:rsid w:val="002F08CC"/>
    <w:rsid w:val="002F0A31"/>
    <w:rsid w:val="002F0DE5"/>
    <w:rsid w:val="002F13C1"/>
    <w:rsid w:val="002F15DF"/>
    <w:rsid w:val="002F1E50"/>
    <w:rsid w:val="002F3431"/>
    <w:rsid w:val="002F347E"/>
    <w:rsid w:val="002F35FB"/>
    <w:rsid w:val="002F473A"/>
    <w:rsid w:val="002F47A7"/>
    <w:rsid w:val="002F47D5"/>
    <w:rsid w:val="002F4A4B"/>
    <w:rsid w:val="002F560F"/>
    <w:rsid w:val="002F6114"/>
    <w:rsid w:val="002F6378"/>
    <w:rsid w:val="002F6452"/>
    <w:rsid w:val="002F6E2A"/>
    <w:rsid w:val="002F770F"/>
    <w:rsid w:val="002F7C7D"/>
    <w:rsid w:val="002F7DE3"/>
    <w:rsid w:val="003010FB"/>
    <w:rsid w:val="00301BF1"/>
    <w:rsid w:val="0030360D"/>
    <w:rsid w:val="00303A37"/>
    <w:rsid w:val="00304682"/>
    <w:rsid w:val="00304709"/>
    <w:rsid w:val="00305374"/>
    <w:rsid w:val="00305657"/>
    <w:rsid w:val="00305A7D"/>
    <w:rsid w:val="00306824"/>
    <w:rsid w:val="003071D9"/>
    <w:rsid w:val="0030769B"/>
    <w:rsid w:val="00310194"/>
    <w:rsid w:val="00310667"/>
    <w:rsid w:val="003107D0"/>
    <w:rsid w:val="003118B2"/>
    <w:rsid w:val="00311A80"/>
    <w:rsid w:val="00311C77"/>
    <w:rsid w:val="003124F7"/>
    <w:rsid w:val="0031332C"/>
    <w:rsid w:val="003145A0"/>
    <w:rsid w:val="00314C35"/>
    <w:rsid w:val="003153F5"/>
    <w:rsid w:val="003159C4"/>
    <w:rsid w:val="00315FB9"/>
    <w:rsid w:val="00315FC6"/>
    <w:rsid w:val="00316D18"/>
    <w:rsid w:val="003176D0"/>
    <w:rsid w:val="00317D2A"/>
    <w:rsid w:val="00320337"/>
    <w:rsid w:val="003213CF"/>
    <w:rsid w:val="00321570"/>
    <w:rsid w:val="003220F4"/>
    <w:rsid w:val="00322464"/>
    <w:rsid w:val="003226EE"/>
    <w:rsid w:val="003229EF"/>
    <w:rsid w:val="003233FA"/>
    <w:rsid w:val="003240DD"/>
    <w:rsid w:val="00324467"/>
    <w:rsid w:val="003251F7"/>
    <w:rsid w:val="00325AF0"/>
    <w:rsid w:val="00325F5E"/>
    <w:rsid w:val="00326A77"/>
    <w:rsid w:val="00326B2C"/>
    <w:rsid w:val="00326D7E"/>
    <w:rsid w:val="00326EA8"/>
    <w:rsid w:val="003271F8"/>
    <w:rsid w:val="003306CF"/>
    <w:rsid w:val="003308C2"/>
    <w:rsid w:val="00330F9F"/>
    <w:rsid w:val="00332344"/>
    <w:rsid w:val="00332760"/>
    <w:rsid w:val="00332C2F"/>
    <w:rsid w:val="00332F79"/>
    <w:rsid w:val="00333982"/>
    <w:rsid w:val="003341B1"/>
    <w:rsid w:val="003343AB"/>
    <w:rsid w:val="003344DE"/>
    <w:rsid w:val="00334716"/>
    <w:rsid w:val="00334768"/>
    <w:rsid w:val="00334815"/>
    <w:rsid w:val="003356E3"/>
    <w:rsid w:val="003362BF"/>
    <w:rsid w:val="00336A86"/>
    <w:rsid w:val="00336F16"/>
    <w:rsid w:val="00340FA7"/>
    <w:rsid w:val="0034114D"/>
    <w:rsid w:val="003417A8"/>
    <w:rsid w:val="00342C66"/>
    <w:rsid w:val="00343772"/>
    <w:rsid w:val="003439F3"/>
    <w:rsid w:val="00344D58"/>
    <w:rsid w:val="003465C7"/>
    <w:rsid w:val="00346FC7"/>
    <w:rsid w:val="0034737A"/>
    <w:rsid w:val="003473F1"/>
    <w:rsid w:val="0034798B"/>
    <w:rsid w:val="00347BCF"/>
    <w:rsid w:val="00347C5C"/>
    <w:rsid w:val="00350CE2"/>
    <w:rsid w:val="00350D26"/>
    <w:rsid w:val="00350DD7"/>
    <w:rsid w:val="00350F20"/>
    <w:rsid w:val="003515D7"/>
    <w:rsid w:val="00351BB4"/>
    <w:rsid w:val="00351FD6"/>
    <w:rsid w:val="00352139"/>
    <w:rsid w:val="00352256"/>
    <w:rsid w:val="00352AD1"/>
    <w:rsid w:val="003548DB"/>
    <w:rsid w:val="00354CDC"/>
    <w:rsid w:val="00355237"/>
    <w:rsid w:val="00355DC9"/>
    <w:rsid w:val="00356AE7"/>
    <w:rsid w:val="0035702E"/>
    <w:rsid w:val="00357828"/>
    <w:rsid w:val="0036049A"/>
    <w:rsid w:val="00361303"/>
    <w:rsid w:val="003619AA"/>
    <w:rsid w:val="00361C3B"/>
    <w:rsid w:val="00362680"/>
    <w:rsid w:val="00363515"/>
    <w:rsid w:val="00364124"/>
    <w:rsid w:val="0036460E"/>
    <w:rsid w:val="003646BE"/>
    <w:rsid w:val="00364B20"/>
    <w:rsid w:val="00364B54"/>
    <w:rsid w:val="003655CA"/>
    <w:rsid w:val="00365DD4"/>
    <w:rsid w:val="0036608A"/>
    <w:rsid w:val="003666AE"/>
    <w:rsid w:val="00366CE0"/>
    <w:rsid w:val="00370134"/>
    <w:rsid w:val="003701FA"/>
    <w:rsid w:val="003708FE"/>
    <w:rsid w:val="00370CDD"/>
    <w:rsid w:val="003710EF"/>
    <w:rsid w:val="003711B3"/>
    <w:rsid w:val="0037157D"/>
    <w:rsid w:val="003716F7"/>
    <w:rsid w:val="00372155"/>
    <w:rsid w:val="00372804"/>
    <w:rsid w:val="00372A1E"/>
    <w:rsid w:val="00372E79"/>
    <w:rsid w:val="0037312A"/>
    <w:rsid w:val="003735F3"/>
    <w:rsid w:val="00373BED"/>
    <w:rsid w:val="00373ED4"/>
    <w:rsid w:val="00373FFB"/>
    <w:rsid w:val="00374022"/>
    <w:rsid w:val="003741A6"/>
    <w:rsid w:val="00374220"/>
    <w:rsid w:val="0037471E"/>
    <w:rsid w:val="0037519C"/>
    <w:rsid w:val="003751C6"/>
    <w:rsid w:val="003758DD"/>
    <w:rsid w:val="003776FC"/>
    <w:rsid w:val="0037778E"/>
    <w:rsid w:val="0038037F"/>
    <w:rsid w:val="00380888"/>
    <w:rsid w:val="00381F44"/>
    <w:rsid w:val="00382574"/>
    <w:rsid w:val="003834CD"/>
    <w:rsid w:val="00383D65"/>
    <w:rsid w:val="0038402E"/>
    <w:rsid w:val="0038568B"/>
    <w:rsid w:val="003859F1"/>
    <w:rsid w:val="00386F34"/>
    <w:rsid w:val="003876AC"/>
    <w:rsid w:val="00390B42"/>
    <w:rsid w:val="00391D94"/>
    <w:rsid w:val="00391EA7"/>
    <w:rsid w:val="00392B8B"/>
    <w:rsid w:val="003933D8"/>
    <w:rsid w:val="00393707"/>
    <w:rsid w:val="00393A04"/>
    <w:rsid w:val="00393C6B"/>
    <w:rsid w:val="00394D70"/>
    <w:rsid w:val="0039551D"/>
    <w:rsid w:val="003956F7"/>
    <w:rsid w:val="003962AD"/>
    <w:rsid w:val="0039646F"/>
    <w:rsid w:val="00396489"/>
    <w:rsid w:val="0039706B"/>
    <w:rsid w:val="0039739B"/>
    <w:rsid w:val="0039790F"/>
    <w:rsid w:val="003A1CDE"/>
    <w:rsid w:val="003A1D6E"/>
    <w:rsid w:val="003A1F06"/>
    <w:rsid w:val="003A253A"/>
    <w:rsid w:val="003A2954"/>
    <w:rsid w:val="003A2B35"/>
    <w:rsid w:val="003A31D5"/>
    <w:rsid w:val="003A3228"/>
    <w:rsid w:val="003A33DD"/>
    <w:rsid w:val="003A646D"/>
    <w:rsid w:val="003A6D1F"/>
    <w:rsid w:val="003A75A5"/>
    <w:rsid w:val="003B00E8"/>
    <w:rsid w:val="003B010B"/>
    <w:rsid w:val="003B0470"/>
    <w:rsid w:val="003B07F0"/>
    <w:rsid w:val="003B085E"/>
    <w:rsid w:val="003B08E0"/>
    <w:rsid w:val="003B1895"/>
    <w:rsid w:val="003B210F"/>
    <w:rsid w:val="003B2348"/>
    <w:rsid w:val="003B29C4"/>
    <w:rsid w:val="003B3534"/>
    <w:rsid w:val="003B36F5"/>
    <w:rsid w:val="003B3E95"/>
    <w:rsid w:val="003B48E7"/>
    <w:rsid w:val="003B4D84"/>
    <w:rsid w:val="003B4F3D"/>
    <w:rsid w:val="003B544C"/>
    <w:rsid w:val="003B5CC4"/>
    <w:rsid w:val="003B5EF6"/>
    <w:rsid w:val="003B701A"/>
    <w:rsid w:val="003B71F0"/>
    <w:rsid w:val="003B74D6"/>
    <w:rsid w:val="003B79C8"/>
    <w:rsid w:val="003B7A6D"/>
    <w:rsid w:val="003B7AEE"/>
    <w:rsid w:val="003B7C26"/>
    <w:rsid w:val="003C024F"/>
    <w:rsid w:val="003C0700"/>
    <w:rsid w:val="003C07EC"/>
    <w:rsid w:val="003C0BCE"/>
    <w:rsid w:val="003C1540"/>
    <w:rsid w:val="003C16D7"/>
    <w:rsid w:val="003C2351"/>
    <w:rsid w:val="003C24A8"/>
    <w:rsid w:val="003C2579"/>
    <w:rsid w:val="003C34F8"/>
    <w:rsid w:val="003C3618"/>
    <w:rsid w:val="003C37C2"/>
    <w:rsid w:val="003C4CF6"/>
    <w:rsid w:val="003C59F4"/>
    <w:rsid w:val="003C5A74"/>
    <w:rsid w:val="003C60ED"/>
    <w:rsid w:val="003C630B"/>
    <w:rsid w:val="003C65D3"/>
    <w:rsid w:val="003C6B71"/>
    <w:rsid w:val="003C7E66"/>
    <w:rsid w:val="003D03A8"/>
    <w:rsid w:val="003D09EE"/>
    <w:rsid w:val="003D1436"/>
    <w:rsid w:val="003D1995"/>
    <w:rsid w:val="003D1DA8"/>
    <w:rsid w:val="003D3381"/>
    <w:rsid w:val="003D3C55"/>
    <w:rsid w:val="003D3F01"/>
    <w:rsid w:val="003D4F50"/>
    <w:rsid w:val="003D526E"/>
    <w:rsid w:val="003D59CA"/>
    <w:rsid w:val="003D5F8F"/>
    <w:rsid w:val="003D62AF"/>
    <w:rsid w:val="003D6436"/>
    <w:rsid w:val="003D6453"/>
    <w:rsid w:val="003D7195"/>
    <w:rsid w:val="003D7AD2"/>
    <w:rsid w:val="003D7B80"/>
    <w:rsid w:val="003D7EFA"/>
    <w:rsid w:val="003E0465"/>
    <w:rsid w:val="003E07DF"/>
    <w:rsid w:val="003E0BE6"/>
    <w:rsid w:val="003E0E4C"/>
    <w:rsid w:val="003E0FF6"/>
    <w:rsid w:val="003E1A67"/>
    <w:rsid w:val="003E25BC"/>
    <w:rsid w:val="003E2775"/>
    <w:rsid w:val="003E2F91"/>
    <w:rsid w:val="003E3C5E"/>
    <w:rsid w:val="003E4482"/>
    <w:rsid w:val="003E47A4"/>
    <w:rsid w:val="003E4F35"/>
    <w:rsid w:val="003E5535"/>
    <w:rsid w:val="003E55E3"/>
    <w:rsid w:val="003E5676"/>
    <w:rsid w:val="003E5836"/>
    <w:rsid w:val="003E5905"/>
    <w:rsid w:val="003E5F48"/>
    <w:rsid w:val="003E65B5"/>
    <w:rsid w:val="003E76FE"/>
    <w:rsid w:val="003E7BBE"/>
    <w:rsid w:val="003E7C39"/>
    <w:rsid w:val="003F0C23"/>
    <w:rsid w:val="003F1389"/>
    <w:rsid w:val="003F13B3"/>
    <w:rsid w:val="003F24C8"/>
    <w:rsid w:val="003F2A0A"/>
    <w:rsid w:val="003F2F84"/>
    <w:rsid w:val="003F2FB9"/>
    <w:rsid w:val="003F3795"/>
    <w:rsid w:val="003F438C"/>
    <w:rsid w:val="003F455D"/>
    <w:rsid w:val="003F4985"/>
    <w:rsid w:val="003F5393"/>
    <w:rsid w:val="003F5938"/>
    <w:rsid w:val="003F794A"/>
    <w:rsid w:val="00402351"/>
    <w:rsid w:val="00402B95"/>
    <w:rsid w:val="00402C60"/>
    <w:rsid w:val="0040307B"/>
    <w:rsid w:val="004033C8"/>
    <w:rsid w:val="004037E6"/>
    <w:rsid w:val="00404262"/>
    <w:rsid w:val="0040431E"/>
    <w:rsid w:val="0040487F"/>
    <w:rsid w:val="00404913"/>
    <w:rsid w:val="00404FDD"/>
    <w:rsid w:val="0040508D"/>
    <w:rsid w:val="00405A0D"/>
    <w:rsid w:val="00405BB9"/>
    <w:rsid w:val="00406254"/>
    <w:rsid w:val="00406361"/>
    <w:rsid w:val="004067F2"/>
    <w:rsid w:val="00406B7C"/>
    <w:rsid w:val="00407744"/>
    <w:rsid w:val="0041080F"/>
    <w:rsid w:val="00410A81"/>
    <w:rsid w:val="00410B04"/>
    <w:rsid w:val="00412445"/>
    <w:rsid w:val="00412CA2"/>
    <w:rsid w:val="0041342E"/>
    <w:rsid w:val="00413BF6"/>
    <w:rsid w:val="00413F04"/>
    <w:rsid w:val="00414F9E"/>
    <w:rsid w:val="0041523A"/>
    <w:rsid w:val="00415A5C"/>
    <w:rsid w:val="0041707C"/>
    <w:rsid w:val="004170F4"/>
    <w:rsid w:val="004171C7"/>
    <w:rsid w:val="004173E8"/>
    <w:rsid w:val="00417659"/>
    <w:rsid w:val="004178A5"/>
    <w:rsid w:val="00420416"/>
    <w:rsid w:val="004210D2"/>
    <w:rsid w:val="00422556"/>
    <w:rsid w:val="004233D6"/>
    <w:rsid w:val="00423C1F"/>
    <w:rsid w:val="0042458A"/>
    <w:rsid w:val="00424A4B"/>
    <w:rsid w:val="004253F8"/>
    <w:rsid w:val="00425A8E"/>
    <w:rsid w:val="00426687"/>
    <w:rsid w:val="0042668E"/>
    <w:rsid w:val="004266E4"/>
    <w:rsid w:val="00426E21"/>
    <w:rsid w:val="0042759E"/>
    <w:rsid w:val="0042798C"/>
    <w:rsid w:val="00430249"/>
    <w:rsid w:val="00431056"/>
    <w:rsid w:val="004314C6"/>
    <w:rsid w:val="00431D86"/>
    <w:rsid w:val="004325AE"/>
    <w:rsid w:val="004325D3"/>
    <w:rsid w:val="00432A1C"/>
    <w:rsid w:val="00432B2A"/>
    <w:rsid w:val="004334A2"/>
    <w:rsid w:val="00433AE0"/>
    <w:rsid w:val="00434038"/>
    <w:rsid w:val="00434A85"/>
    <w:rsid w:val="00434C22"/>
    <w:rsid w:val="00434E2A"/>
    <w:rsid w:val="00434E2B"/>
    <w:rsid w:val="004355E3"/>
    <w:rsid w:val="00436ADB"/>
    <w:rsid w:val="00437C5A"/>
    <w:rsid w:val="00437E1E"/>
    <w:rsid w:val="00442FD0"/>
    <w:rsid w:val="00443C0E"/>
    <w:rsid w:val="00445043"/>
    <w:rsid w:val="00445123"/>
    <w:rsid w:val="00445D75"/>
    <w:rsid w:val="00445F91"/>
    <w:rsid w:val="0044602E"/>
    <w:rsid w:val="00446C2C"/>
    <w:rsid w:val="00446DD2"/>
    <w:rsid w:val="004474AA"/>
    <w:rsid w:val="0044770E"/>
    <w:rsid w:val="00447983"/>
    <w:rsid w:val="00451F0E"/>
    <w:rsid w:val="004520AE"/>
    <w:rsid w:val="004522A3"/>
    <w:rsid w:val="0045265C"/>
    <w:rsid w:val="0045292C"/>
    <w:rsid w:val="0045292F"/>
    <w:rsid w:val="00452C2D"/>
    <w:rsid w:val="004536C3"/>
    <w:rsid w:val="00453962"/>
    <w:rsid w:val="00453F1B"/>
    <w:rsid w:val="0045511F"/>
    <w:rsid w:val="0045571D"/>
    <w:rsid w:val="0045582D"/>
    <w:rsid w:val="004559AA"/>
    <w:rsid w:val="00455D29"/>
    <w:rsid w:val="00455F7B"/>
    <w:rsid w:val="0045642D"/>
    <w:rsid w:val="004564D7"/>
    <w:rsid w:val="004570A6"/>
    <w:rsid w:val="004613AF"/>
    <w:rsid w:val="00461626"/>
    <w:rsid w:val="00461984"/>
    <w:rsid w:val="00461F0E"/>
    <w:rsid w:val="00462A97"/>
    <w:rsid w:val="00463558"/>
    <w:rsid w:val="00464200"/>
    <w:rsid w:val="00464350"/>
    <w:rsid w:val="00464873"/>
    <w:rsid w:val="00464FA7"/>
    <w:rsid w:val="00465947"/>
    <w:rsid w:val="00465CE5"/>
    <w:rsid w:val="00465E0A"/>
    <w:rsid w:val="00465E4F"/>
    <w:rsid w:val="004660CC"/>
    <w:rsid w:val="00466372"/>
    <w:rsid w:val="00466EFF"/>
    <w:rsid w:val="0046731F"/>
    <w:rsid w:val="00467531"/>
    <w:rsid w:val="0046764A"/>
    <w:rsid w:val="0047070C"/>
    <w:rsid w:val="00471630"/>
    <w:rsid w:val="0047176B"/>
    <w:rsid w:val="00471CBE"/>
    <w:rsid w:val="00473367"/>
    <w:rsid w:val="004741B5"/>
    <w:rsid w:val="004743BD"/>
    <w:rsid w:val="00474791"/>
    <w:rsid w:val="00474F4A"/>
    <w:rsid w:val="0047508D"/>
    <w:rsid w:val="0047525A"/>
    <w:rsid w:val="00476D8E"/>
    <w:rsid w:val="004800F1"/>
    <w:rsid w:val="00480AD6"/>
    <w:rsid w:val="004810D1"/>
    <w:rsid w:val="004814E7"/>
    <w:rsid w:val="00482F64"/>
    <w:rsid w:val="0048491A"/>
    <w:rsid w:val="00484FA5"/>
    <w:rsid w:val="00485096"/>
    <w:rsid w:val="004852EB"/>
    <w:rsid w:val="00485474"/>
    <w:rsid w:val="00485602"/>
    <w:rsid w:val="00485873"/>
    <w:rsid w:val="00486102"/>
    <w:rsid w:val="00486258"/>
    <w:rsid w:val="00486E5B"/>
    <w:rsid w:val="00487280"/>
    <w:rsid w:val="00487958"/>
    <w:rsid w:val="00487F07"/>
    <w:rsid w:val="0049067C"/>
    <w:rsid w:val="00490ED0"/>
    <w:rsid w:val="00491288"/>
    <w:rsid w:val="00491380"/>
    <w:rsid w:val="00492C41"/>
    <w:rsid w:val="00492FFD"/>
    <w:rsid w:val="00493426"/>
    <w:rsid w:val="0049493C"/>
    <w:rsid w:val="00494C21"/>
    <w:rsid w:val="00494EE9"/>
    <w:rsid w:val="0049633C"/>
    <w:rsid w:val="00496CA4"/>
    <w:rsid w:val="00496FC9"/>
    <w:rsid w:val="004971FC"/>
    <w:rsid w:val="00497895"/>
    <w:rsid w:val="00497941"/>
    <w:rsid w:val="00497E2A"/>
    <w:rsid w:val="00497E40"/>
    <w:rsid w:val="00497F67"/>
    <w:rsid w:val="004A0641"/>
    <w:rsid w:val="004A0783"/>
    <w:rsid w:val="004A0885"/>
    <w:rsid w:val="004A0A16"/>
    <w:rsid w:val="004A0BF2"/>
    <w:rsid w:val="004A1A26"/>
    <w:rsid w:val="004A1E53"/>
    <w:rsid w:val="004A226B"/>
    <w:rsid w:val="004A2A18"/>
    <w:rsid w:val="004A2C12"/>
    <w:rsid w:val="004A3317"/>
    <w:rsid w:val="004A36ED"/>
    <w:rsid w:val="004A4C6F"/>
    <w:rsid w:val="004A503C"/>
    <w:rsid w:val="004A51CC"/>
    <w:rsid w:val="004A6639"/>
    <w:rsid w:val="004A6AFB"/>
    <w:rsid w:val="004A6E87"/>
    <w:rsid w:val="004A716A"/>
    <w:rsid w:val="004A757B"/>
    <w:rsid w:val="004B023E"/>
    <w:rsid w:val="004B0554"/>
    <w:rsid w:val="004B09DA"/>
    <w:rsid w:val="004B0AB8"/>
    <w:rsid w:val="004B12A1"/>
    <w:rsid w:val="004B149D"/>
    <w:rsid w:val="004B1BEA"/>
    <w:rsid w:val="004B1E54"/>
    <w:rsid w:val="004B2612"/>
    <w:rsid w:val="004B2937"/>
    <w:rsid w:val="004B2DA6"/>
    <w:rsid w:val="004B2DF6"/>
    <w:rsid w:val="004B4475"/>
    <w:rsid w:val="004B4EC0"/>
    <w:rsid w:val="004B5A42"/>
    <w:rsid w:val="004B5BDE"/>
    <w:rsid w:val="004B6228"/>
    <w:rsid w:val="004B687A"/>
    <w:rsid w:val="004B6D04"/>
    <w:rsid w:val="004B7798"/>
    <w:rsid w:val="004C0A04"/>
    <w:rsid w:val="004C210C"/>
    <w:rsid w:val="004C2289"/>
    <w:rsid w:val="004C2357"/>
    <w:rsid w:val="004C2F72"/>
    <w:rsid w:val="004C3545"/>
    <w:rsid w:val="004C3B72"/>
    <w:rsid w:val="004C4249"/>
    <w:rsid w:val="004C49FB"/>
    <w:rsid w:val="004C57F7"/>
    <w:rsid w:val="004C5FF6"/>
    <w:rsid w:val="004C6245"/>
    <w:rsid w:val="004C6477"/>
    <w:rsid w:val="004C74A8"/>
    <w:rsid w:val="004C7B0D"/>
    <w:rsid w:val="004D04AC"/>
    <w:rsid w:val="004D0510"/>
    <w:rsid w:val="004D054F"/>
    <w:rsid w:val="004D0BDB"/>
    <w:rsid w:val="004D0C1A"/>
    <w:rsid w:val="004D0CBE"/>
    <w:rsid w:val="004D1506"/>
    <w:rsid w:val="004D168C"/>
    <w:rsid w:val="004D17C7"/>
    <w:rsid w:val="004D1FD1"/>
    <w:rsid w:val="004D2164"/>
    <w:rsid w:val="004D31FC"/>
    <w:rsid w:val="004D3553"/>
    <w:rsid w:val="004D355A"/>
    <w:rsid w:val="004D3765"/>
    <w:rsid w:val="004D38D1"/>
    <w:rsid w:val="004D3E04"/>
    <w:rsid w:val="004D40A8"/>
    <w:rsid w:val="004D419E"/>
    <w:rsid w:val="004D44E2"/>
    <w:rsid w:val="004D4F5A"/>
    <w:rsid w:val="004D5284"/>
    <w:rsid w:val="004D56D8"/>
    <w:rsid w:val="004D5B36"/>
    <w:rsid w:val="004D5B7C"/>
    <w:rsid w:val="004D5C3C"/>
    <w:rsid w:val="004D62F5"/>
    <w:rsid w:val="004D6453"/>
    <w:rsid w:val="004D6D37"/>
    <w:rsid w:val="004D74D7"/>
    <w:rsid w:val="004D7B42"/>
    <w:rsid w:val="004E0245"/>
    <w:rsid w:val="004E026E"/>
    <w:rsid w:val="004E0F53"/>
    <w:rsid w:val="004E0FC5"/>
    <w:rsid w:val="004E10BB"/>
    <w:rsid w:val="004E15D6"/>
    <w:rsid w:val="004E17F5"/>
    <w:rsid w:val="004E232E"/>
    <w:rsid w:val="004E2686"/>
    <w:rsid w:val="004E3FBC"/>
    <w:rsid w:val="004E48F8"/>
    <w:rsid w:val="004E4B24"/>
    <w:rsid w:val="004E4DD4"/>
    <w:rsid w:val="004E57C0"/>
    <w:rsid w:val="004E5C0F"/>
    <w:rsid w:val="004E635F"/>
    <w:rsid w:val="004E68CC"/>
    <w:rsid w:val="004F09FB"/>
    <w:rsid w:val="004F0DED"/>
    <w:rsid w:val="004F239F"/>
    <w:rsid w:val="004F25D0"/>
    <w:rsid w:val="004F2ED5"/>
    <w:rsid w:val="004F36FB"/>
    <w:rsid w:val="004F3A39"/>
    <w:rsid w:val="004F446B"/>
    <w:rsid w:val="004F44A7"/>
    <w:rsid w:val="004F4F78"/>
    <w:rsid w:val="004F531D"/>
    <w:rsid w:val="004F5BCA"/>
    <w:rsid w:val="004F5D4E"/>
    <w:rsid w:val="004F670E"/>
    <w:rsid w:val="004F709E"/>
    <w:rsid w:val="004F7631"/>
    <w:rsid w:val="004F76F0"/>
    <w:rsid w:val="004F796F"/>
    <w:rsid w:val="00500DFB"/>
    <w:rsid w:val="00502289"/>
    <w:rsid w:val="0050275D"/>
    <w:rsid w:val="00503E97"/>
    <w:rsid w:val="005041C2"/>
    <w:rsid w:val="00504753"/>
    <w:rsid w:val="00504846"/>
    <w:rsid w:val="00504A95"/>
    <w:rsid w:val="00504D05"/>
    <w:rsid w:val="00505629"/>
    <w:rsid w:val="00505B4F"/>
    <w:rsid w:val="00505DC6"/>
    <w:rsid w:val="005060CE"/>
    <w:rsid w:val="00506CD0"/>
    <w:rsid w:val="0050726D"/>
    <w:rsid w:val="00507690"/>
    <w:rsid w:val="00510298"/>
    <w:rsid w:val="00510CB6"/>
    <w:rsid w:val="0051137C"/>
    <w:rsid w:val="00511397"/>
    <w:rsid w:val="005114CB"/>
    <w:rsid w:val="0051187E"/>
    <w:rsid w:val="00511AB5"/>
    <w:rsid w:val="00511B7D"/>
    <w:rsid w:val="00511D06"/>
    <w:rsid w:val="0051214B"/>
    <w:rsid w:val="00512CFB"/>
    <w:rsid w:val="00512DB7"/>
    <w:rsid w:val="00512DDB"/>
    <w:rsid w:val="00514071"/>
    <w:rsid w:val="005142D8"/>
    <w:rsid w:val="0051450A"/>
    <w:rsid w:val="00514548"/>
    <w:rsid w:val="00514632"/>
    <w:rsid w:val="00514E29"/>
    <w:rsid w:val="005162EC"/>
    <w:rsid w:val="005164E2"/>
    <w:rsid w:val="00516B38"/>
    <w:rsid w:val="0051726F"/>
    <w:rsid w:val="005175BD"/>
    <w:rsid w:val="00520394"/>
    <w:rsid w:val="005203C2"/>
    <w:rsid w:val="00521384"/>
    <w:rsid w:val="00521558"/>
    <w:rsid w:val="00522513"/>
    <w:rsid w:val="005225DE"/>
    <w:rsid w:val="00522653"/>
    <w:rsid w:val="00523355"/>
    <w:rsid w:val="00523CE8"/>
    <w:rsid w:val="00523E37"/>
    <w:rsid w:val="00523F5F"/>
    <w:rsid w:val="00524461"/>
    <w:rsid w:val="00524A49"/>
    <w:rsid w:val="00524D53"/>
    <w:rsid w:val="00524E87"/>
    <w:rsid w:val="0052587C"/>
    <w:rsid w:val="0052703B"/>
    <w:rsid w:val="00527244"/>
    <w:rsid w:val="00527B0C"/>
    <w:rsid w:val="0053044D"/>
    <w:rsid w:val="0053056A"/>
    <w:rsid w:val="00530E03"/>
    <w:rsid w:val="0053198E"/>
    <w:rsid w:val="00532133"/>
    <w:rsid w:val="0053248A"/>
    <w:rsid w:val="00532B4F"/>
    <w:rsid w:val="00532DAE"/>
    <w:rsid w:val="00534A05"/>
    <w:rsid w:val="00534EE7"/>
    <w:rsid w:val="005353E1"/>
    <w:rsid w:val="00535C3A"/>
    <w:rsid w:val="00535DF5"/>
    <w:rsid w:val="00536A8B"/>
    <w:rsid w:val="00536D34"/>
    <w:rsid w:val="00536D40"/>
    <w:rsid w:val="00536FB5"/>
    <w:rsid w:val="0053731B"/>
    <w:rsid w:val="00537504"/>
    <w:rsid w:val="0053777B"/>
    <w:rsid w:val="005379C5"/>
    <w:rsid w:val="00537DB1"/>
    <w:rsid w:val="005406D1"/>
    <w:rsid w:val="00541039"/>
    <w:rsid w:val="00541263"/>
    <w:rsid w:val="0054127B"/>
    <w:rsid w:val="005412B9"/>
    <w:rsid w:val="00542636"/>
    <w:rsid w:val="0054322C"/>
    <w:rsid w:val="005445B9"/>
    <w:rsid w:val="005457DA"/>
    <w:rsid w:val="00545891"/>
    <w:rsid w:val="00545966"/>
    <w:rsid w:val="00545C6A"/>
    <w:rsid w:val="00545CBC"/>
    <w:rsid w:val="00545F78"/>
    <w:rsid w:val="00546904"/>
    <w:rsid w:val="00546B71"/>
    <w:rsid w:val="00546C44"/>
    <w:rsid w:val="00547FAD"/>
    <w:rsid w:val="00550371"/>
    <w:rsid w:val="0055087D"/>
    <w:rsid w:val="005511A5"/>
    <w:rsid w:val="005518B2"/>
    <w:rsid w:val="00551D07"/>
    <w:rsid w:val="00551DCC"/>
    <w:rsid w:val="005523C8"/>
    <w:rsid w:val="0055314C"/>
    <w:rsid w:val="005536FF"/>
    <w:rsid w:val="0055373F"/>
    <w:rsid w:val="005544C7"/>
    <w:rsid w:val="00554760"/>
    <w:rsid w:val="005551DD"/>
    <w:rsid w:val="0055523A"/>
    <w:rsid w:val="0055533F"/>
    <w:rsid w:val="00556D65"/>
    <w:rsid w:val="005570EF"/>
    <w:rsid w:val="005574F0"/>
    <w:rsid w:val="0056015E"/>
    <w:rsid w:val="00560AA4"/>
    <w:rsid w:val="00560FC7"/>
    <w:rsid w:val="0056159A"/>
    <w:rsid w:val="00562A25"/>
    <w:rsid w:val="00562E84"/>
    <w:rsid w:val="0056400E"/>
    <w:rsid w:val="005640CF"/>
    <w:rsid w:val="00565045"/>
    <w:rsid w:val="0056523D"/>
    <w:rsid w:val="005660BA"/>
    <w:rsid w:val="0056614E"/>
    <w:rsid w:val="005671BD"/>
    <w:rsid w:val="005673FC"/>
    <w:rsid w:val="0056787D"/>
    <w:rsid w:val="00570325"/>
    <w:rsid w:val="00570B86"/>
    <w:rsid w:val="0057116C"/>
    <w:rsid w:val="00571A95"/>
    <w:rsid w:val="0057210D"/>
    <w:rsid w:val="00572243"/>
    <w:rsid w:val="005728F3"/>
    <w:rsid w:val="00574371"/>
    <w:rsid w:val="00574B02"/>
    <w:rsid w:val="005760CA"/>
    <w:rsid w:val="005764CD"/>
    <w:rsid w:val="00577043"/>
    <w:rsid w:val="00580249"/>
    <w:rsid w:val="00580CAD"/>
    <w:rsid w:val="00581150"/>
    <w:rsid w:val="00581DBA"/>
    <w:rsid w:val="00582778"/>
    <w:rsid w:val="00584141"/>
    <w:rsid w:val="0058534A"/>
    <w:rsid w:val="00586517"/>
    <w:rsid w:val="0058651B"/>
    <w:rsid w:val="00586CFB"/>
    <w:rsid w:val="00587145"/>
    <w:rsid w:val="00587B69"/>
    <w:rsid w:val="005904E5"/>
    <w:rsid w:val="005907F9"/>
    <w:rsid w:val="0059104B"/>
    <w:rsid w:val="00591B79"/>
    <w:rsid w:val="00591FD1"/>
    <w:rsid w:val="00592052"/>
    <w:rsid w:val="005923C7"/>
    <w:rsid w:val="005924A6"/>
    <w:rsid w:val="00592A9A"/>
    <w:rsid w:val="00593753"/>
    <w:rsid w:val="00593EC5"/>
    <w:rsid w:val="0059442C"/>
    <w:rsid w:val="00594479"/>
    <w:rsid w:val="00595CB7"/>
    <w:rsid w:val="00595F69"/>
    <w:rsid w:val="00596B06"/>
    <w:rsid w:val="00597A33"/>
    <w:rsid w:val="005A0561"/>
    <w:rsid w:val="005A062D"/>
    <w:rsid w:val="005A0B6F"/>
    <w:rsid w:val="005A0BF1"/>
    <w:rsid w:val="005A0C2D"/>
    <w:rsid w:val="005A1116"/>
    <w:rsid w:val="005A167F"/>
    <w:rsid w:val="005A1E20"/>
    <w:rsid w:val="005A1FCF"/>
    <w:rsid w:val="005A30D9"/>
    <w:rsid w:val="005A357A"/>
    <w:rsid w:val="005A5789"/>
    <w:rsid w:val="005A5B0B"/>
    <w:rsid w:val="005A5BBC"/>
    <w:rsid w:val="005A618D"/>
    <w:rsid w:val="005A6199"/>
    <w:rsid w:val="005A64DF"/>
    <w:rsid w:val="005A662A"/>
    <w:rsid w:val="005A66CF"/>
    <w:rsid w:val="005A69FA"/>
    <w:rsid w:val="005A730A"/>
    <w:rsid w:val="005A73E6"/>
    <w:rsid w:val="005A7BCA"/>
    <w:rsid w:val="005A7C1B"/>
    <w:rsid w:val="005B01C7"/>
    <w:rsid w:val="005B0716"/>
    <w:rsid w:val="005B11C4"/>
    <w:rsid w:val="005B18C4"/>
    <w:rsid w:val="005B1E08"/>
    <w:rsid w:val="005B28A8"/>
    <w:rsid w:val="005B3712"/>
    <w:rsid w:val="005B45CB"/>
    <w:rsid w:val="005B4E23"/>
    <w:rsid w:val="005B54CF"/>
    <w:rsid w:val="005B5753"/>
    <w:rsid w:val="005B5C87"/>
    <w:rsid w:val="005B5E71"/>
    <w:rsid w:val="005B6454"/>
    <w:rsid w:val="005C0690"/>
    <w:rsid w:val="005C0F13"/>
    <w:rsid w:val="005C1E38"/>
    <w:rsid w:val="005C2B4B"/>
    <w:rsid w:val="005C437A"/>
    <w:rsid w:val="005C4451"/>
    <w:rsid w:val="005C45B6"/>
    <w:rsid w:val="005C49B9"/>
    <w:rsid w:val="005C5E00"/>
    <w:rsid w:val="005C6201"/>
    <w:rsid w:val="005C627B"/>
    <w:rsid w:val="005C6433"/>
    <w:rsid w:val="005C6D94"/>
    <w:rsid w:val="005C6DC7"/>
    <w:rsid w:val="005C732A"/>
    <w:rsid w:val="005C7342"/>
    <w:rsid w:val="005C7DB7"/>
    <w:rsid w:val="005D00BE"/>
    <w:rsid w:val="005D077A"/>
    <w:rsid w:val="005D0CD0"/>
    <w:rsid w:val="005D0E06"/>
    <w:rsid w:val="005D1043"/>
    <w:rsid w:val="005D19A1"/>
    <w:rsid w:val="005D19DF"/>
    <w:rsid w:val="005D1ADC"/>
    <w:rsid w:val="005D2299"/>
    <w:rsid w:val="005D36CD"/>
    <w:rsid w:val="005D46C8"/>
    <w:rsid w:val="005D4EF5"/>
    <w:rsid w:val="005D5011"/>
    <w:rsid w:val="005D5430"/>
    <w:rsid w:val="005D5613"/>
    <w:rsid w:val="005D5AAD"/>
    <w:rsid w:val="005D5AE5"/>
    <w:rsid w:val="005D6248"/>
    <w:rsid w:val="005D63CF"/>
    <w:rsid w:val="005D66F1"/>
    <w:rsid w:val="005D699F"/>
    <w:rsid w:val="005D6E37"/>
    <w:rsid w:val="005D7121"/>
    <w:rsid w:val="005D76F3"/>
    <w:rsid w:val="005E007D"/>
    <w:rsid w:val="005E06C4"/>
    <w:rsid w:val="005E0C86"/>
    <w:rsid w:val="005E0E8D"/>
    <w:rsid w:val="005E19DC"/>
    <w:rsid w:val="005E3110"/>
    <w:rsid w:val="005E32F1"/>
    <w:rsid w:val="005E379D"/>
    <w:rsid w:val="005E63C0"/>
    <w:rsid w:val="005E655B"/>
    <w:rsid w:val="005E66D6"/>
    <w:rsid w:val="005E70E0"/>
    <w:rsid w:val="005E7CD9"/>
    <w:rsid w:val="005E7F39"/>
    <w:rsid w:val="005F0276"/>
    <w:rsid w:val="005F0326"/>
    <w:rsid w:val="005F0990"/>
    <w:rsid w:val="005F1325"/>
    <w:rsid w:val="005F14CA"/>
    <w:rsid w:val="005F150D"/>
    <w:rsid w:val="005F1695"/>
    <w:rsid w:val="005F1B1F"/>
    <w:rsid w:val="005F21F8"/>
    <w:rsid w:val="005F26B1"/>
    <w:rsid w:val="005F28FD"/>
    <w:rsid w:val="005F2C33"/>
    <w:rsid w:val="005F331C"/>
    <w:rsid w:val="005F350D"/>
    <w:rsid w:val="005F4B01"/>
    <w:rsid w:val="005F5517"/>
    <w:rsid w:val="005F58D4"/>
    <w:rsid w:val="005F5A3D"/>
    <w:rsid w:val="005F78CD"/>
    <w:rsid w:val="006008AB"/>
    <w:rsid w:val="00601590"/>
    <w:rsid w:val="006015EC"/>
    <w:rsid w:val="0060309C"/>
    <w:rsid w:val="006030E0"/>
    <w:rsid w:val="0060340E"/>
    <w:rsid w:val="00603583"/>
    <w:rsid w:val="00604905"/>
    <w:rsid w:val="00604A45"/>
    <w:rsid w:val="00604A4F"/>
    <w:rsid w:val="00604CA3"/>
    <w:rsid w:val="00605212"/>
    <w:rsid w:val="0060565F"/>
    <w:rsid w:val="006073B4"/>
    <w:rsid w:val="00607A9F"/>
    <w:rsid w:val="00607ABC"/>
    <w:rsid w:val="00607CF4"/>
    <w:rsid w:val="00607F99"/>
    <w:rsid w:val="00610F6C"/>
    <w:rsid w:val="00611182"/>
    <w:rsid w:val="00611384"/>
    <w:rsid w:val="006119F9"/>
    <w:rsid w:val="00611A69"/>
    <w:rsid w:val="00612DFF"/>
    <w:rsid w:val="0061382C"/>
    <w:rsid w:val="006138A0"/>
    <w:rsid w:val="00613A71"/>
    <w:rsid w:val="00614E05"/>
    <w:rsid w:val="00615137"/>
    <w:rsid w:val="006152ED"/>
    <w:rsid w:val="00615C6D"/>
    <w:rsid w:val="006164A1"/>
    <w:rsid w:val="00616720"/>
    <w:rsid w:val="00616777"/>
    <w:rsid w:val="00620372"/>
    <w:rsid w:val="00620E47"/>
    <w:rsid w:val="00622245"/>
    <w:rsid w:val="0062285A"/>
    <w:rsid w:val="00622BF3"/>
    <w:rsid w:val="00622E7C"/>
    <w:rsid w:val="006231D0"/>
    <w:rsid w:val="00623DA2"/>
    <w:rsid w:val="006249C4"/>
    <w:rsid w:val="00624F40"/>
    <w:rsid w:val="006257E8"/>
    <w:rsid w:val="00626DFC"/>
    <w:rsid w:val="00626F87"/>
    <w:rsid w:val="00627730"/>
    <w:rsid w:val="0062784A"/>
    <w:rsid w:val="006278B9"/>
    <w:rsid w:val="0063140F"/>
    <w:rsid w:val="00631BD9"/>
    <w:rsid w:val="006332DE"/>
    <w:rsid w:val="00634118"/>
    <w:rsid w:val="006358EB"/>
    <w:rsid w:val="00635EE4"/>
    <w:rsid w:val="00635F10"/>
    <w:rsid w:val="0063655A"/>
    <w:rsid w:val="0063739B"/>
    <w:rsid w:val="00640016"/>
    <w:rsid w:val="00640BFB"/>
    <w:rsid w:val="00640D22"/>
    <w:rsid w:val="00640F36"/>
    <w:rsid w:val="00641059"/>
    <w:rsid w:val="006411FB"/>
    <w:rsid w:val="00641915"/>
    <w:rsid w:val="00641F84"/>
    <w:rsid w:val="00642675"/>
    <w:rsid w:val="00642803"/>
    <w:rsid w:val="00642CF3"/>
    <w:rsid w:val="00643E9D"/>
    <w:rsid w:val="0064481F"/>
    <w:rsid w:val="00646990"/>
    <w:rsid w:val="00646B38"/>
    <w:rsid w:val="00647084"/>
    <w:rsid w:val="006477EC"/>
    <w:rsid w:val="00650D5D"/>
    <w:rsid w:val="0065105E"/>
    <w:rsid w:val="00652CB4"/>
    <w:rsid w:val="00652EC7"/>
    <w:rsid w:val="00652F76"/>
    <w:rsid w:val="00653754"/>
    <w:rsid w:val="00653ACE"/>
    <w:rsid w:val="00653C0E"/>
    <w:rsid w:val="00653D50"/>
    <w:rsid w:val="0065414A"/>
    <w:rsid w:val="0065533C"/>
    <w:rsid w:val="00656696"/>
    <w:rsid w:val="00656917"/>
    <w:rsid w:val="0065711D"/>
    <w:rsid w:val="00660F93"/>
    <w:rsid w:val="00661A90"/>
    <w:rsid w:val="0066204C"/>
    <w:rsid w:val="00662705"/>
    <w:rsid w:val="00662BC8"/>
    <w:rsid w:val="00662BED"/>
    <w:rsid w:val="0066302E"/>
    <w:rsid w:val="00663579"/>
    <w:rsid w:val="00663622"/>
    <w:rsid w:val="0066392F"/>
    <w:rsid w:val="00664348"/>
    <w:rsid w:val="006646C3"/>
    <w:rsid w:val="00665480"/>
    <w:rsid w:val="00665483"/>
    <w:rsid w:val="00665803"/>
    <w:rsid w:val="00665923"/>
    <w:rsid w:val="00665C1D"/>
    <w:rsid w:val="00665C85"/>
    <w:rsid w:val="00665F34"/>
    <w:rsid w:val="00666890"/>
    <w:rsid w:val="00666D46"/>
    <w:rsid w:val="006671BC"/>
    <w:rsid w:val="00670622"/>
    <w:rsid w:val="0067100F"/>
    <w:rsid w:val="00671A6D"/>
    <w:rsid w:val="0067248E"/>
    <w:rsid w:val="00672BE5"/>
    <w:rsid w:val="00673549"/>
    <w:rsid w:val="006739E3"/>
    <w:rsid w:val="00673C24"/>
    <w:rsid w:val="00674DC4"/>
    <w:rsid w:val="006754FC"/>
    <w:rsid w:val="00675731"/>
    <w:rsid w:val="00676EF1"/>
    <w:rsid w:val="006772E0"/>
    <w:rsid w:val="00680CAC"/>
    <w:rsid w:val="00680D7C"/>
    <w:rsid w:val="00681603"/>
    <w:rsid w:val="0068208F"/>
    <w:rsid w:val="00682227"/>
    <w:rsid w:val="00682CB6"/>
    <w:rsid w:val="006831C0"/>
    <w:rsid w:val="00684079"/>
    <w:rsid w:val="00684E10"/>
    <w:rsid w:val="00684FDD"/>
    <w:rsid w:val="00686793"/>
    <w:rsid w:val="00686854"/>
    <w:rsid w:val="00687338"/>
    <w:rsid w:val="00687BDF"/>
    <w:rsid w:val="0069072F"/>
    <w:rsid w:val="00691322"/>
    <w:rsid w:val="006928FB"/>
    <w:rsid w:val="00692CFE"/>
    <w:rsid w:val="00693B01"/>
    <w:rsid w:val="00694000"/>
    <w:rsid w:val="00695467"/>
    <w:rsid w:val="00695679"/>
    <w:rsid w:val="00695F24"/>
    <w:rsid w:val="00696011"/>
    <w:rsid w:val="0069659E"/>
    <w:rsid w:val="00696DCE"/>
    <w:rsid w:val="00697851"/>
    <w:rsid w:val="0069799F"/>
    <w:rsid w:val="00697A6C"/>
    <w:rsid w:val="006A04BA"/>
    <w:rsid w:val="006A0556"/>
    <w:rsid w:val="006A0810"/>
    <w:rsid w:val="006A10EE"/>
    <w:rsid w:val="006A182A"/>
    <w:rsid w:val="006A1959"/>
    <w:rsid w:val="006A1A20"/>
    <w:rsid w:val="006A1FEE"/>
    <w:rsid w:val="006A21B7"/>
    <w:rsid w:val="006A3550"/>
    <w:rsid w:val="006A36A3"/>
    <w:rsid w:val="006A36D6"/>
    <w:rsid w:val="006A392C"/>
    <w:rsid w:val="006A3A69"/>
    <w:rsid w:val="006A3AFD"/>
    <w:rsid w:val="006A417C"/>
    <w:rsid w:val="006A497A"/>
    <w:rsid w:val="006A5D00"/>
    <w:rsid w:val="006A64A6"/>
    <w:rsid w:val="006A65A3"/>
    <w:rsid w:val="006A6BEB"/>
    <w:rsid w:val="006B0DB7"/>
    <w:rsid w:val="006B1236"/>
    <w:rsid w:val="006B1815"/>
    <w:rsid w:val="006B244C"/>
    <w:rsid w:val="006B2D23"/>
    <w:rsid w:val="006B2F43"/>
    <w:rsid w:val="006B2F62"/>
    <w:rsid w:val="006B3B1D"/>
    <w:rsid w:val="006B4176"/>
    <w:rsid w:val="006B4691"/>
    <w:rsid w:val="006B57A6"/>
    <w:rsid w:val="006B584C"/>
    <w:rsid w:val="006B5866"/>
    <w:rsid w:val="006B59D8"/>
    <w:rsid w:val="006B5D2D"/>
    <w:rsid w:val="006B5F99"/>
    <w:rsid w:val="006B6DA4"/>
    <w:rsid w:val="006B7F75"/>
    <w:rsid w:val="006C1332"/>
    <w:rsid w:val="006C16E9"/>
    <w:rsid w:val="006C1D06"/>
    <w:rsid w:val="006C3851"/>
    <w:rsid w:val="006C3AE6"/>
    <w:rsid w:val="006C4960"/>
    <w:rsid w:val="006C5DF4"/>
    <w:rsid w:val="006C5FF8"/>
    <w:rsid w:val="006C625B"/>
    <w:rsid w:val="006C6D3D"/>
    <w:rsid w:val="006C71CC"/>
    <w:rsid w:val="006C7985"/>
    <w:rsid w:val="006C7CCA"/>
    <w:rsid w:val="006D08B3"/>
    <w:rsid w:val="006D0B13"/>
    <w:rsid w:val="006D19EA"/>
    <w:rsid w:val="006D1DA3"/>
    <w:rsid w:val="006D1E00"/>
    <w:rsid w:val="006D1F75"/>
    <w:rsid w:val="006D20C8"/>
    <w:rsid w:val="006D22A8"/>
    <w:rsid w:val="006D307A"/>
    <w:rsid w:val="006D3218"/>
    <w:rsid w:val="006D44BB"/>
    <w:rsid w:val="006D4559"/>
    <w:rsid w:val="006D5A19"/>
    <w:rsid w:val="006D615E"/>
    <w:rsid w:val="006D61B1"/>
    <w:rsid w:val="006D75FD"/>
    <w:rsid w:val="006D7E1F"/>
    <w:rsid w:val="006E0011"/>
    <w:rsid w:val="006E0022"/>
    <w:rsid w:val="006E05B9"/>
    <w:rsid w:val="006E0614"/>
    <w:rsid w:val="006E189F"/>
    <w:rsid w:val="006E18A1"/>
    <w:rsid w:val="006E1B00"/>
    <w:rsid w:val="006E1EFC"/>
    <w:rsid w:val="006E2B91"/>
    <w:rsid w:val="006E338F"/>
    <w:rsid w:val="006E345C"/>
    <w:rsid w:val="006E37E8"/>
    <w:rsid w:val="006E37FC"/>
    <w:rsid w:val="006E3AA6"/>
    <w:rsid w:val="006E46B3"/>
    <w:rsid w:val="006E4BCB"/>
    <w:rsid w:val="006E54BF"/>
    <w:rsid w:val="006E5E85"/>
    <w:rsid w:val="006E643E"/>
    <w:rsid w:val="006E6DD5"/>
    <w:rsid w:val="006E7969"/>
    <w:rsid w:val="006E7CDA"/>
    <w:rsid w:val="006F0478"/>
    <w:rsid w:val="006F13D5"/>
    <w:rsid w:val="006F17EB"/>
    <w:rsid w:val="006F182A"/>
    <w:rsid w:val="006F189C"/>
    <w:rsid w:val="006F1BDB"/>
    <w:rsid w:val="006F232C"/>
    <w:rsid w:val="006F23E9"/>
    <w:rsid w:val="006F38AA"/>
    <w:rsid w:val="006F3C91"/>
    <w:rsid w:val="006F3F06"/>
    <w:rsid w:val="006F479F"/>
    <w:rsid w:val="006F5213"/>
    <w:rsid w:val="006F56CD"/>
    <w:rsid w:val="006F57DA"/>
    <w:rsid w:val="006F59BB"/>
    <w:rsid w:val="006F5B2C"/>
    <w:rsid w:val="006F61CB"/>
    <w:rsid w:val="006F6460"/>
    <w:rsid w:val="006F66F3"/>
    <w:rsid w:val="006F6CD9"/>
    <w:rsid w:val="006F6FE1"/>
    <w:rsid w:val="006F7632"/>
    <w:rsid w:val="006F7725"/>
    <w:rsid w:val="006F7844"/>
    <w:rsid w:val="00700562"/>
    <w:rsid w:val="007007F6"/>
    <w:rsid w:val="00701287"/>
    <w:rsid w:val="0070201B"/>
    <w:rsid w:val="007020D2"/>
    <w:rsid w:val="0070232E"/>
    <w:rsid w:val="00702E2B"/>
    <w:rsid w:val="00703C9F"/>
    <w:rsid w:val="00703EF3"/>
    <w:rsid w:val="00706CB9"/>
    <w:rsid w:val="00706D5F"/>
    <w:rsid w:val="00707698"/>
    <w:rsid w:val="007103F1"/>
    <w:rsid w:val="00711332"/>
    <w:rsid w:val="007117B6"/>
    <w:rsid w:val="00711F1E"/>
    <w:rsid w:val="00712148"/>
    <w:rsid w:val="0071242E"/>
    <w:rsid w:val="007126B5"/>
    <w:rsid w:val="0071336F"/>
    <w:rsid w:val="007133CB"/>
    <w:rsid w:val="00713452"/>
    <w:rsid w:val="007138DC"/>
    <w:rsid w:val="0071425D"/>
    <w:rsid w:val="007148BA"/>
    <w:rsid w:val="00714E3C"/>
    <w:rsid w:val="00714E78"/>
    <w:rsid w:val="00715060"/>
    <w:rsid w:val="0071516A"/>
    <w:rsid w:val="00717C58"/>
    <w:rsid w:val="00717DA5"/>
    <w:rsid w:val="00717E2E"/>
    <w:rsid w:val="00720F90"/>
    <w:rsid w:val="0072110B"/>
    <w:rsid w:val="00721391"/>
    <w:rsid w:val="00721AA8"/>
    <w:rsid w:val="00721E6C"/>
    <w:rsid w:val="007221EB"/>
    <w:rsid w:val="00722B8F"/>
    <w:rsid w:val="00722E70"/>
    <w:rsid w:val="007232F1"/>
    <w:rsid w:val="00723EE6"/>
    <w:rsid w:val="007246E6"/>
    <w:rsid w:val="00724F5F"/>
    <w:rsid w:val="0072525E"/>
    <w:rsid w:val="0072563D"/>
    <w:rsid w:val="0072567F"/>
    <w:rsid w:val="00725752"/>
    <w:rsid w:val="00725A50"/>
    <w:rsid w:val="0072616C"/>
    <w:rsid w:val="007264A2"/>
    <w:rsid w:val="0072657B"/>
    <w:rsid w:val="00727053"/>
    <w:rsid w:val="0072726A"/>
    <w:rsid w:val="00727AE6"/>
    <w:rsid w:val="00731A5E"/>
    <w:rsid w:val="0073248F"/>
    <w:rsid w:val="00732AFB"/>
    <w:rsid w:val="00732CC2"/>
    <w:rsid w:val="00732F66"/>
    <w:rsid w:val="00733189"/>
    <w:rsid w:val="007333B2"/>
    <w:rsid w:val="00734181"/>
    <w:rsid w:val="007355AA"/>
    <w:rsid w:val="007359DD"/>
    <w:rsid w:val="00735E77"/>
    <w:rsid w:val="00736012"/>
    <w:rsid w:val="00736A3D"/>
    <w:rsid w:val="00736A59"/>
    <w:rsid w:val="0073766F"/>
    <w:rsid w:val="00737D1A"/>
    <w:rsid w:val="00742246"/>
    <w:rsid w:val="0074232F"/>
    <w:rsid w:val="00742B79"/>
    <w:rsid w:val="00743167"/>
    <w:rsid w:val="007441FA"/>
    <w:rsid w:val="0074471B"/>
    <w:rsid w:val="007447A1"/>
    <w:rsid w:val="00744BC0"/>
    <w:rsid w:val="00744C3A"/>
    <w:rsid w:val="007453B9"/>
    <w:rsid w:val="007464BB"/>
    <w:rsid w:val="007464EA"/>
    <w:rsid w:val="00746CA7"/>
    <w:rsid w:val="0075015A"/>
    <w:rsid w:val="00750979"/>
    <w:rsid w:val="00751BB6"/>
    <w:rsid w:val="0075209E"/>
    <w:rsid w:val="007524B3"/>
    <w:rsid w:val="007526EC"/>
    <w:rsid w:val="007527AB"/>
    <w:rsid w:val="00753010"/>
    <w:rsid w:val="00753796"/>
    <w:rsid w:val="0075497C"/>
    <w:rsid w:val="007549FF"/>
    <w:rsid w:val="00754E28"/>
    <w:rsid w:val="00755B1F"/>
    <w:rsid w:val="00755C89"/>
    <w:rsid w:val="00756800"/>
    <w:rsid w:val="00756AC2"/>
    <w:rsid w:val="00760297"/>
    <w:rsid w:val="007604EB"/>
    <w:rsid w:val="0076079B"/>
    <w:rsid w:val="00760EDA"/>
    <w:rsid w:val="007614AF"/>
    <w:rsid w:val="00761EF0"/>
    <w:rsid w:val="00761FAB"/>
    <w:rsid w:val="007638F1"/>
    <w:rsid w:val="00764089"/>
    <w:rsid w:val="00764CE5"/>
    <w:rsid w:val="00764D76"/>
    <w:rsid w:val="007656DC"/>
    <w:rsid w:val="0076630F"/>
    <w:rsid w:val="007671C7"/>
    <w:rsid w:val="00767523"/>
    <w:rsid w:val="00767967"/>
    <w:rsid w:val="00767B17"/>
    <w:rsid w:val="00767FF1"/>
    <w:rsid w:val="00770F82"/>
    <w:rsid w:val="007718A9"/>
    <w:rsid w:val="00772F18"/>
    <w:rsid w:val="00773076"/>
    <w:rsid w:val="00773354"/>
    <w:rsid w:val="007738A7"/>
    <w:rsid w:val="007742A4"/>
    <w:rsid w:val="00774566"/>
    <w:rsid w:val="0077580B"/>
    <w:rsid w:val="00775D41"/>
    <w:rsid w:val="007769E5"/>
    <w:rsid w:val="00776DF1"/>
    <w:rsid w:val="00776E36"/>
    <w:rsid w:val="0077711D"/>
    <w:rsid w:val="00777780"/>
    <w:rsid w:val="00777A39"/>
    <w:rsid w:val="00777E6B"/>
    <w:rsid w:val="007815EE"/>
    <w:rsid w:val="00781C0D"/>
    <w:rsid w:val="0078260C"/>
    <w:rsid w:val="00783187"/>
    <w:rsid w:val="00783452"/>
    <w:rsid w:val="007842B8"/>
    <w:rsid w:val="00784465"/>
    <w:rsid w:val="00787B48"/>
    <w:rsid w:val="0079097D"/>
    <w:rsid w:val="00790F99"/>
    <w:rsid w:val="00791117"/>
    <w:rsid w:val="0079114C"/>
    <w:rsid w:val="0079161D"/>
    <w:rsid w:val="00792967"/>
    <w:rsid w:val="00792C9F"/>
    <w:rsid w:val="00792D88"/>
    <w:rsid w:val="00792DCC"/>
    <w:rsid w:val="00793725"/>
    <w:rsid w:val="0079385C"/>
    <w:rsid w:val="00793C49"/>
    <w:rsid w:val="00795444"/>
    <w:rsid w:val="00795478"/>
    <w:rsid w:val="007954CE"/>
    <w:rsid w:val="00795ED5"/>
    <w:rsid w:val="00795F99"/>
    <w:rsid w:val="007970A6"/>
    <w:rsid w:val="00797E3C"/>
    <w:rsid w:val="007A0353"/>
    <w:rsid w:val="007A0567"/>
    <w:rsid w:val="007A07B5"/>
    <w:rsid w:val="007A0B65"/>
    <w:rsid w:val="007A0E19"/>
    <w:rsid w:val="007A17A1"/>
    <w:rsid w:val="007A1EAF"/>
    <w:rsid w:val="007A1F05"/>
    <w:rsid w:val="007A1F4A"/>
    <w:rsid w:val="007A2A83"/>
    <w:rsid w:val="007A2DC2"/>
    <w:rsid w:val="007A3429"/>
    <w:rsid w:val="007A4090"/>
    <w:rsid w:val="007A48AB"/>
    <w:rsid w:val="007A4C48"/>
    <w:rsid w:val="007A5666"/>
    <w:rsid w:val="007A610F"/>
    <w:rsid w:val="007A6225"/>
    <w:rsid w:val="007A6F9C"/>
    <w:rsid w:val="007A73CE"/>
    <w:rsid w:val="007A74E9"/>
    <w:rsid w:val="007A7749"/>
    <w:rsid w:val="007A780A"/>
    <w:rsid w:val="007A7948"/>
    <w:rsid w:val="007A7B1B"/>
    <w:rsid w:val="007B0057"/>
    <w:rsid w:val="007B040B"/>
    <w:rsid w:val="007B21F3"/>
    <w:rsid w:val="007B238C"/>
    <w:rsid w:val="007B2B90"/>
    <w:rsid w:val="007B30C5"/>
    <w:rsid w:val="007B35AF"/>
    <w:rsid w:val="007B379B"/>
    <w:rsid w:val="007B37E5"/>
    <w:rsid w:val="007B3CCB"/>
    <w:rsid w:val="007B4B87"/>
    <w:rsid w:val="007B4EAF"/>
    <w:rsid w:val="007B5383"/>
    <w:rsid w:val="007B5605"/>
    <w:rsid w:val="007B5762"/>
    <w:rsid w:val="007B580C"/>
    <w:rsid w:val="007B6010"/>
    <w:rsid w:val="007B6B66"/>
    <w:rsid w:val="007C00F3"/>
    <w:rsid w:val="007C0EA1"/>
    <w:rsid w:val="007C1214"/>
    <w:rsid w:val="007C1679"/>
    <w:rsid w:val="007C2C0D"/>
    <w:rsid w:val="007C2CB6"/>
    <w:rsid w:val="007C2D54"/>
    <w:rsid w:val="007C3CF0"/>
    <w:rsid w:val="007C4266"/>
    <w:rsid w:val="007C42E6"/>
    <w:rsid w:val="007C464C"/>
    <w:rsid w:val="007C4C31"/>
    <w:rsid w:val="007C5826"/>
    <w:rsid w:val="007C596C"/>
    <w:rsid w:val="007C5B8A"/>
    <w:rsid w:val="007C6AAD"/>
    <w:rsid w:val="007C7AD6"/>
    <w:rsid w:val="007D014E"/>
    <w:rsid w:val="007D018E"/>
    <w:rsid w:val="007D2410"/>
    <w:rsid w:val="007D35F7"/>
    <w:rsid w:val="007D4191"/>
    <w:rsid w:val="007D46D1"/>
    <w:rsid w:val="007D481B"/>
    <w:rsid w:val="007D48F2"/>
    <w:rsid w:val="007D5D70"/>
    <w:rsid w:val="007D61E6"/>
    <w:rsid w:val="007D6900"/>
    <w:rsid w:val="007D6BD0"/>
    <w:rsid w:val="007D70C4"/>
    <w:rsid w:val="007D7776"/>
    <w:rsid w:val="007D7BCA"/>
    <w:rsid w:val="007E059F"/>
    <w:rsid w:val="007E1880"/>
    <w:rsid w:val="007E20F1"/>
    <w:rsid w:val="007E250A"/>
    <w:rsid w:val="007E29A2"/>
    <w:rsid w:val="007E31BF"/>
    <w:rsid w:val="007E4D78"/>
    <w:rsid w:val="007E54CC"/>
    <w:rsid w:val="007E5911"/>
    <w:rsid w:val="007E5ABC"/>
    <w:rsid w:val="007E616B"/>
    <w:rsid w:val="007E74C3"/>
    <w:rsid w:val="007E7651"/>
    <w:rsid w:val="007E7C1E"/>
    <w:rsid w:val="007F068E"/>
    <w:rsid w:val="007F088C"/>
    <w:rsid w:val="007F1584"/>
    <w:rsid w:val="007F1807"/>
    <w:rsid w:val="007F2E1B"/>
    <w:rsid w:val="007F33E6"/>
    <w:rsid w:val="007F3781"/>
    <w:rsid w:val="007F3840"/>
    <w:rsid w:val="007F3973"/>
    <w:rsid w:val="007F3D18"/>
    <w:rsid w:val="007F42CB"/>
    <w:rsid w:val="007F47C8"/>
    <w:rsid w:val="007F4953"/>
    <w:rsid w:val="007F50D2"/>
    <w:rsid w:val="007F5585"/>
    <w:rsid w:val="007F5704"/>
    <w:rsid w:val="007F5CC8"/>
    <w:rsid w:val="007F6048"/>
    <w:rsid w:val="007F61F0"/>
    <w:rsid w:val="007F625A"/>
    <w:rsid w:val="007F682E"/>
    <w:rsid w:val="007F6950"/>
    <w:rsid w:val="007F6C0D"/>
    <w:rsid w:val="007F71D8"/>
    <w:rsid w:val="007F7AC7"/>
    <w:rsid w:val="007F7B64"/>
    <w:rsid w:val="00800A2D"/>
    <w:rsid w:val="00801035"/>
    <w:rsid w:val="0080146F"/>
    <w:rsid w:val="00801906"/>
    <w:rsid w:val="00801A7D"/>
    <w:rsid w:val="00803B26"/>
    <w:rsid w:val="00803C20"/>
    <w:rsid w:val="00803E04"/>
    <w:rsid w:val="00804238"/>
    <w:rsid w:val="00804E94"/>
    <w:rsid w:val="00805037"/>
    <w:rsid w:val="0080580A"/>
    <w:rsid w:val="00805AFB"/>
    <w:rsid w:val="00805B16"/>
    <w:rsid w:val="00806291"/>
    <w:rsid w:val="00806BE9"/>
    <w:rsid w:val="00806FFC"/>
    <w:rsid w:val="00807050"/>
    <w:rsid w:val="008072CA"/>
    <w:rsid w:val="00807BC4"/>
    <w:rsid w:val="00810712"/>
    <w:rsid w:val="0081094F"/>
    <w:rsid w:val="00811809"/>
    <w:rsid w:val="00814421"/>
    <w:rsid w:val="00814627"/>
    <w:rsid w:val="008156FE"/>
    <w:rsid w:val="00815AE1"/>
    <w:rsid w:val="00816510"/>
    <w:rsid w:val="008166A7"/>
    <w:rsid w:val="00817079"/>
    <w:rsid w:val="008179C8"/>
    <w:rsid w:val="0082012C"/>
    <w:rsid w:val="0082020E"/>
    <w:rsid w:val="00820EAA"/>
    <w:rsid w:val="008217FD"/>
    <w:rsid w:val="00822439"/>
    <w:rsid w:val="00822658"/>
    <w:rsid w:val="00822916"/>
    <w:rsid w:val="008236A8"/>
    <w:rsid w:val="00823E7C"/>
    <w:rsid w:val="00824DB3"/>
    <w:rsid w:val="0082584E"/>
    <w:rsid w:val="0082637B"/>
    <w:rsid w:val="0082715C"/>
    <w:rsid w:val="00827368"/>
    <w:rsid w:val="00827874"/>
    <w:rsid w:val="008300B6"/>
    <w:rsid w:val="00830624"/>
    <w:rsid w:val="00830876"/>
    <w:rsid w:val="0083137D"/>
    <w:rsid w:val="008319F0"/>
    <w:rsid w:val="00831CA5"/>
    <w:rsid w:val="00831E57"/>
    <w:rsid w:val="00832B73"/>
    <w:rsid w:val="00833E0C"/>
    <w:rsid w:val="00833F67"/>
    <w:rsid w:val="00834B70"/>
    <w:rsid w:val="00835A48"/>
    <w:rsid w:val="00835D63"/>
    <w:rsid w:val="00836EE0"/>
    <w:rsid w:val="00837441"/>
    <w:rsid w:val="00837946"/>
    <w:rsid w:val="00837A0F"/>
    <w:rsid w:val="00837F27"/>
    <w:rsid w:val="0084016A"/>
    <w:rsid w:val="008404A6"/>
    <w:rsid w:val="00840D5D"/>
    <w:rsid w:val="00840F82"/>
    <w:rsid w:val="008413F7"/>
    <w:rsid w:val="00841928"/>
    <w:rsid w:val="008419A3"/>
    <w:rsid w:val="00841C7F"/>
    <w:rsid w:val="00842055"/>
    <w:rsid w:val="00842434"/>
    <w:rsid w:val="00842711"/>
    <w:rsid w:val="00843464"/>
    <w:rsid w:val="0084388F"/>
    <w:rsid w:val="00844139"/>
    <w:rsid w:val="008449B4"/>
    <w:rsid w:val="00844D7A"/>
    <w:rsid w:val="00844FF0"/>
    <w:rsid w:val="0084555D"/>
    <w:rsid w:val="00845F5A"/>
    <w:rsid w:val="00846FCA"/>
    <w:rsid w:val="00847009"/>
    <w:rsid w:val="00850635"/>
    <w:rsid w:val="0085278C"/>
    <w:rsid w:val="00852AED"/>
    <w:rsid w:val="00853C6A"/>
    <w:rsid w:val="0085522D"/>
    <w:rsid w:val="008554FB"/>
    <w:rsid w:val="00856383"/>
    <w:rsid w:val="00856AE7"/>
    <w:rsid w:val="008570AA"/>
    <w:rsid w:val="008572A6"/>
    <w:rsid w:val="008601B6"/>
    <w:rsid w:val="008605DB"/>
    <w:rsid w:val="00860A75"/>
    <w:rsid w:val="00860D72"/>
    <w:rsid w:val="00860DC5"/>
    <w:rsid w:val="008619D8"/>
    <w:rsid w:val="00861C34"/>
    <w:rsid w:val="00863084"/>
    <w:rsid w:val="0086472A"/>
    <w:rsid w:val="008647A7"/>
    <w:rsid w:val="008653CA"/>
    <w:rsid w:val="008655DA"/>
    <w:rsid w:val="0086562C"/>
    <w:rsid w:val="00865BB8"/>
    <w:rsid w:val="00865C07"/>
    <w:rsid w:val="00865CC7"/>
    <w:rsid w:val="0086635C"/>
    <w:rsid w:val="00866C45"/>
    <w:rsid w:val="0086703E"/>
    <w:rsid w:val="00867953"/>
    <w:rsid w:val="00867A3D"/>
    <w:rsid w:val="00867ACB"/>
    <w:rsid w:val="00867F13"/>
    <w:rsid w:val="0087178E"/>
    <w:rsid w:val="008717D5"/>
    <w:rsid w:val="008725A4"/>
    <w:rsid w:val="00872C68"/>
    <w:rsid w:val="0087307F"/>
    <w:rsid w:val="00873AD8"/>
    <w:rsid w:val="00873C7A"/>
    <w:rsid w:val="00873EB1"/>
    <w:rsid w:val="0087482F"/>
    <w:rsid w:val="008750F2"/>
    <w:rsid w:val="008753E0"/>
    <w:rsid w:val="008755F4"/>
    <w:rsid w:val="00875B03"/>
    <w:rsid w:val="00875D22"/>
    <w:rsid w:val="0087627E"/>
    <w:rsid w:val="00880387"/>
    <w:rsid w:val="0088122D"/>
    <w:rsid w:val="00881AFB"/>
    <w:rsid w:val="00881E5A"/>
    <w:rsid w:val="00882EED"/>
    <w:rsid w:val="0088351C"/>
    <w:rsid w:val="008839CB"/>
    <w:rsid w:val="00883C9D"/>
    <w:rsid w:val="00883D46"/>
    <w:rsid w:val="008841F4"/>
    <w:rsid w:val="00884674"/>
    <w:rsid w:val="00884E96"/>
    <w:rsid w:val="008857A7"/>
    <w:rsid w:val="008874E4"/>
    <w:rsid w:val="0088759E"/>
    <w:rsid w:val="00887B6D"/>
    <w:rsid w:val="00887E6D"/>
    <w:rsid w:val="0089017B"/>
    <w:rsid w:val="00890F14"/>
    <w:rsid w:val="00891D9E"/>
    <w:rsid w:val="008924CE"/>
    <w:rsid w:val="008924CF"/>
    <w:rsid w:val="00892D98"/>
    <w:rsid w:val="00893097"/>
    <w:rsid w:val="00893865"/>
    <w:rsid w:val="00893C58"/>
    <w:rsid w:val="00893D81"/>
    <w:rsid w:val="00893EBE"/>
    <w:rsid w:val="00894658"/>
    <w:rsid w:val="00894671"/>
    <w:rsid w:val="00894A9A"/>
    <w:rsid w:val="00894BA2"/>
    <w:rsid w:val="0089509C"/>
    <w:rsid w:val="0089512C"/>
    <w:rsid w:val="008954A5"/>
    <w:rsid w:val="00896539"/>
    <w:rsid w:val="00896DC1"/>
    <w:rsid w:val="00897844"/>
    <w:rsid w:val="00897FF6"/>
    <w:rsid w:val="008A02A7"/>
    <w:rsid w:val="008A03E0"/>
    <w:rsid w:val="008A092F"/>
    <w:rsid w:val="008A0E8B"/>
    <w:rsid w:val="008A117C"/>
    <w:rsid w:val="008A1EFC"/>
    <w:rsid w:val="008A2002"/>
    <w:rsid w:val="008A233D"/>
    <w:rsid w:val="008A245B"/>
    <w:rsid w:val="008A257E"/>
    <w:rsid w:val="008A2AE5"/>
    <w:rsid w:val="008A3181"/>
    <w:rsid w:val="008A384B"/>
    <w:rsid w:val="008A3C94"/>
    <w:rsid w:val="008A41E5"/>
    <w:rsid w:val="008A4890"/>
    <w:rsid w:val="008A4926"/>
    <w:rsid w:val="008A5183"/>
    <w:rsid w:val="008A66F3"/>
    <w:rsid w:val="008A7374"/>
    <w:rsid w:val="008B01A8"/>
    <w:rsid w:val="008B1975"/>
    <w:rsid w:val="008B1D74"/>
    <w:rsid w:val="008B343D"/>
    <w:rsid w:val="008B363B"/>
    <w:rsid w:val="008B366A"/>
    <w:rsid w:val="008B3EE4"/>
    <w:rsid w:val="008B4709"/>
    <w:rsid w:val="008B473C"/>
    <w:rsid w:val="008B47F0"/>
    <w:rsid w:val="008B5729"/>
    <w:rsid w:val="008B5F6F"/>
    <w:rsid w:val="008B61B1"/>
    <w:rsid w:val="008B6741"/>
    <w:rsid w:val="008B69B3"/>
    <w:rsid w:val="008B72B1"/>
    <w:rsid w:val="008B74CE"/>
    <w:rsid w:val="008B7561"/>
    <w:rsid w:val="008B7F1D"/>
    <w:rsid w:val="008C0033"/>
    <w:rsid w:val="008C02E1"/>
    <w:rsid w:val="008C104E"/>
    <w:rsid w:val="008C30A8"/>
    <w:rsid w:val="008C320F"/>
    <w:rsid w:val="008C328A"/>
    <w:rsid w:val="008C39E6"/>
    <w:rsid w:val="008C4BE6"/>
    <w:rsid w:val="008C5A94"/>
    <w:rsid w:val="008C60E6"/>
    <w:rsid w:val="008C6190"/>
    <w:rsid w:val="008C63D0"/>
    <w:rsid w:val="008C64E7"/>
    <w:rsid w:val="008C68A0"/>
    <w:rsid w:val="008C6A4A"/>
    <w:rsid w:val="008C6DA3"/>
    <w:rsid w:val="008C7290"/>
    <w:rsid w:val="008C7DD7"/>
    <w:rsid w:val="008D0302"/>
    <w:rsid w:val="008D06EB"/>
    <w:rsid w:val="008D0BD9"/>
    <w:rsid w:val="008D13AC"/>
    <w:rsid w:val="008D181E"/>
    <w:rsid w:val="008D188B"/>
    <w:rsid w:val="008D1949"/>
    <w:rsid w:val="008D274B"/>
    <w:rsid w:val="008D3343"/>
    <w:rsid w:val="008D338C"/>
    <w:rsid w:val="008D34FD"/>
    <w:rsid w:val="008D526A"/>
    <w:rsid w:val="008D5965"/>
    <w:rsid w:val="008D5FA2"/>
    <w:rsid w:val="008D60C0"/>
    <w:rsid w:val="008D6664"/>
    <w:rsid w:val="008D6F42"/>
    <w:rsid w:val="008D6F99"/>
    <w:rsid w:val="008D7DE6"/>
    <w:rsid w:val="008E1491"/>
    <w:rsid w:val="008E1AD4"/>
    <w:rsid w:val="008E1D66"/>
    <w:rsid w:val="008E1DF5"/>
    <w:rsid w:val="008E208B"/>
    <w:rsid w:val="008E2E51"/>
    <w:rsid w:val="008E32BA"/>
    <w:rsid w:val="008E369A"/>
    <w:rsid w:val="008E3BF0"/>
    <w:rsid w:val="008E4197"/>
    <w:rsid w:val="008E448D"/>
    <w:rsid w:val="008E44EA"/>
    <w:rsid w:val="008E4EA6"/>
    <w:rsid w:val="008E52DD"/>
    <w:rsid w:val="008E5CC2"/>
    <w:rsid w:val="008E5CE8"/>
    <w:rsid w:val="008E6348"/>
    <w:rsid w:val="008E6CA7"/>
    <w:rsid w:val="008E71B3"/>
    <w:rsid w:val="008E7A9D"/>
    <w:rsid w:val="008E7F51"/>
    <w:rsid w:val="008F0CCA"/>
    <w:rsid w:val="008F0FD4"/>
    <w:rsid w:val="008F1671"/>
    <w:rsid w:val="008F1DE8"/>
    <w:rsid w:val="008F1E56"/>
    <w:rsid w:val="008F31C8"/>
    <w:rsid w:val="008F3356"/>
    <w:rsid w:val="008F33F7"/>
    <w:rsid w:val="008F3A68"/>
    <w:rsid w:val="008F3C90"/>
    <w:rsid w:val="008F3D4B"/>
    <w:rsid w:val="008F44F5"/>
    <w:rsid w:val="008F4671"/>
    <w:rsid w:val="008F4AA3"/>
    <w:rsid w:val="008F4B27"/>
    <w:rsid w:val="008F51AB"/>
    <w:rsid w:val="008F53A8"/>
    <w:rsid w:val="008F5C1E"/>
    <w:rsid w:val="008F5D2B"/>
    <w:rsid w:val="008F65FF"/>
    <w:rsid w:val="008F7BE2"/>
    <w:rsid w:val="0090002D"/>
    <w:rsid w:val="0090093E"/>
    <w:rsid w:val="009028E5"/>
    <w:rsid w:val="00902963"/>
    <w:rsid w:val="00903895"/>
    <w:rsid w:val="00904AA4"/>
    <w:rsid w:val="00905047"/>
    <w:rsid w:val="00906232"/>
    <w:rsid w:val="0090679B"/>
    <w:rsid w:val="00907B35"/>
    <w:rsid w:val="00907BD6"/>
    <w:rsid w:val="00907E76"/>
    <w:rsid w:val="0091009F"/>
    <w:rsid w:val="00910280"/>
    <w:rsid w:val="00910926"/>
    <w:rsid w:val="00910B76"/>
    <w:rsid w:val="00911319"/>
    <w:rsid w:val="0091185C"/>
    <w:rsid w:val="00911F63"/>
    <w:rsid w:val="009124FE"/>
    <w:rsid w:val="00912953"/>
    <w:rsid w:val="00912A54"/>
    <w:rsid w:val="0091306D"/>
    <w:rsid w:val="0091351E"/>
    <w:rsid w:val="00913BA8"/>
    <w:rsid w:val="00913BB0"/>
    <w:rsid w:val="009143BE"/>
    <w:rsid w:val="00914EB9"/>
    <w:rsid w:val="0091502D"/>
    <w:rsid w:val="00915076"/>
    <w:rsid w:val="009158E8"/>
    <w:rsid w:val="00915A48"/>
    <w:rsid w:val="00916B20"/>
    <w:rsid w:val="009171BE"/>
    <w:rsid w:val="00917C30"/>
    <w:rsid w:val="00917D97"/>
    <w:rsid w:val="0092008A"/>
    <w:rsid w:val="00920912"/>
    <w:rsid w:val="0092092B"/>
    <w:rsid w:val="00920CE3"/>
    <w:rsid w:val="009215E6"/>
    <w:rsid w:val="00921C73"/>
    <w:rsid w:val="00921EE3"/>
    <w:rsid w:val="0092267B"/>
    <w:rsid w:val="00922AA3"/>
    <w:rsid w:val="00923961"/>
    <w:rsid w:val="00923E56"/>
    <w:rsid w:val="009255FE"/>
    <w:rsid w:val="009256B3"/>
    <w:rsid w:val="00925A20"/>
    <w:rsid w:val="00925EE9"/>
    <w:rsid w:val="00927CCD"/>
    <w:rsid w:val="00930054"/>
    <w:rsid w:val="0093015B"/>
    <w:rsid w:val="00930AA7"/>
    <w:rsid w:val="00930ECB"/>
    <w:rsid w:val="00932AD9"/>
    <w:rsid w:val="00932B87"/>
    <w:rsid w:val="0093306C"/>
    <w:rsid w:val="009339F1"/>
    <w:rsid w:val="00933D9B"/>
    <w:rsid w:val="009341E5"/>
    <w:rsid w:val="00934706"/>
    <w:rsid w:val="0093475A"/>
    <w:rsid w:val="00934DED"/>
    <w:rsid w:val="00935A92"/>
    <w:rsid w:val="009362C8"/>
    <w:rsid w:val="009367B3"/>
    <w:rsid w:val="00936B20"/>
    <w:rsid w:val="00936C77"/>
    <w:rsid w:val="00937233"/>
    <w:rsid w:val="0093760D"/>
    <w:rsid w:val="00937824"/>
    <w:rsid w:val="00937AA7"/>
    <w:rsid w:val="00937D99"/>
    <w:rsid w:val="009405E1"/>
    <w:rsid w:val="00940928"/>
    <w:rsid w:val="00941277"/>
    <w:rsid w:val="0094191E"/>
    <w:rsid w:val="00941FDC"/>
    <w:rsid w:val="0094235F"/>
    <w:rsid w:val="00943333"/>
    <w:rsid w:val="00943574"/>
    <w:rsid w:val="0094497F"/>
    <w:rsid w:val="00944B04"/>
    <w:rsid w:val="00944CBC"/>
    <w:rsid w:val="00944FE4"/>
    <w:rsid w:val="009457F5"/>
    <w:rsid w:val="0094597D"/>
    <w:rsid w:val="00946031"/>
    <w:rsid w:val="0094670B"/>
    <w:rsid w:val="00946719"/>
    <w:rsid w:val="0094695D"/>
    <w:rsid w:val="00946F91"/>
    <w:rsid w:val="00947C09"/>
    <w:rsid w:val="0095080E"/>
    <w:rsid w:val="009518C2"/>
    <w:rsid w:val="00951E80"/>
    <w:rsid w:val="00951EC3"/>
    <w:rsid w:val="0095275E"/>
    <w:rsid w:val="00953296"/>
    <w:rsid w:val="00954538"/>
    <w:rsid w:val="00954A65"/>
    <w:rsid w:val="00954A8D"/>
    <w:rsid w:val="00954CB6"/>
    <w:rsid w:val="00956ED3"/>
    <w:rsid w:val="0095791F"/>
    <w:rsid w:val="00957F19"/>
    <w:rsid w:val="00960308"/>
    <w:rsid w:val="009605D5"/>
    <w:rsid w:val="0096097A"/>
    <w:rsid w:val="00960C35"/>
    <w:rsid w:val="00962AED"/>
    <w:rsid w:val="0096494B"/>
    <w:rsid w:val="00965404"/>
    <w:rsid w:val="00965AA2"/>
    <w:rsid w:val="00965E98"/>
    <w:rsid w:val="009661C9"/>
    <w:rsid w:val="00966495"/>
    <w:rsid w:val="00966545"/>
    <w:rsid w:val="0096707B"/>
    <w:rsid w:val="0097079D"/>
    <w:rsid w:val="00971A42"/>
    <w:rsid w:val="00972A3A"/>
    <w:rsid w:val="00973643"/>
    <w:rsid w:val="00973699"/>
    <w:rsid w:val="00973CA3"/>
    <w:rsid w:val="00974B7A"/>
    <w:rsid w:val="00975376"/>
    <w:rsid w:val="00975505"/>
    <w:rsid w:val="00975607"/>
    <w:rsid w:val="00975DAD"/>
    <w:rsid w:val="0097781D"/>
    <w:rsid w:val="00977CF6"/>
    <w:rsid w:val="00980007"/>
    <w:rsid w:val="00980331"/>
    <w:rsid w:val="009804CE"/>
    <w:rsid w:val="009805BE"/>
    <w:rsid w:val="0098100A"/>
    <w:rsid w:val="00981B93"/>
    <w:rsid w:val="00982506"/>
    <w:rsid w:val="00984973"/>
    <w:rsid w:val="00984B9C"/>
    <w:rsid w:val="00984E5F"/>
    <w:rsid w:val="00984E66"/>
    <w:rsid w:val="00984FB8"/>
    <w:rsid w:val="0098500C"/>
    <w:rsid w:val="009851FE"/>
    <w:rsid w:val="0098597F"/>
    <w:rsid w:val="00985D7D"/>
    <w:rsid w:val="00985F43"/>
    <w:rsid w:val="009871A6"/>
    <w:rsid w:val="0098761E"/>
    <w:rsid w:val="00987A62"/>
    <w:rsid w:val="009904CC"/>
    <w:rsid w:val="00990A66"/>
    <w:rsid w:val="00990F7B"/>
    <w:rsid w:val="00991438"/>
    <w:rsid w:val="00992085"/>
    <w:rsid w:val="009928DB"/>
    <w:rsid w:val="009934C6"/>
    <w:rsid w:val="00993544"/>
    <w:rsid w:val="009936F5"/>
    <w:rsid w:val="009940C8"/>
    <w:rsid w:val="00994491"/>
    <w:rsid w:val="009955F7"/>
    <w:rsid w:val="009969A5"/>
    <w:rsid w:val="00996FE4"/>
    <w:rsid w:val="00997178"/>
    <w:rsid w:val="0099743A"/>
    <w:rsid w:val="009979AF"/>
    <w:rsid w:val="009A04A8"/>
    <w:rsid w:val="009A0533"/>
    <w:rsid w:val="009A10C3"/>
    <w:rsid w:val="009A11AD"/>
    <w:rsid w:val="009A1D22"/>
    <w:rsid w:val="009A1D45"/>
    <w:rsid w:val="009A2406"/>
    <w:rsid w:val="009A2979"/>
    <w:rsid w:val="009A2BF4"/>
    <w:rsid w:val="009A3657"/>
    <w:rsid w:val="009A45B9"/>
    <w:rsid w:val="009A4DE7"/>
    <w:rsid w:val="009A501C"/>
    <w:rsid w:val="009A5457"/>
    <w:rsid w:val="009A5635"/>
    <w:rsid w:val="009A5CF4"/>
    <w:rsid w:val="009A6669"/>
    <w:rsid w:val="009A67BB"/>
    <w:rsid w:val="009A6A2F"/>
    <w:rsid w:val="009A71EF"/>
    <w:rsid w:val="009A747C"/>
    <w:rsid w:val="009A7509"/>
    <w:rsid w:val="009A769C"/>
    <w:rsid w:val="009A7753"/>
    <w:rsid w:val="009B02CB"/>
    <w:rsid w:val="009B13C4"/>
    <w:rsid w:val="009B1653"/>
    <w:rsid w:val="009B20C4"/>
    <w:rsid w:val="009B2312"/>
    <w:rsid w:val="009B2B98"/>
    <w:rsid w:val="009B2EFE"/>
    <w:rsid w:val="009B4972"/>
    <w:rsid w:val="009B4C28"/>
    <w:rsid w:val="009B4D04"/>
    <w:rsid w:val="009B4D0F"/>
    <w:rsid w:val="009B5086"/>
    <w:rsid w:val="009B5B9C"/>
    <w:rsid w:val="009B730C"/>
    <w:rsid w:val="009B7D6A"/>
    <w:rsid w:val="009C00A7"/>
    <w:rsid w:val="009C0114"/>
    <w:rsid w:val="009C0547"/>
    <w:rsid w:val="009C08D6"/>
    <w:rsid w:val="009C0DEE"/>
    <w:rsid w:val="009C187A"/>
    <w:rsid w:val="009C24A6"/>
    <w:rsid w:val="009C2DF8"/>
    <w:rsid w:val="009C2EC9"/>
    <w:rsid w:val="009C3829"/>
    <w:rsid w:val="009C3B5E"/>
    <w:rsid w:val="009C4C37"/>
    <w:rsid w:val="009C4DA8"/>
    <w:rsid w:val="009C4E87"/>
    <w:rsid w:val="009C614F"/>
    <w:rsid w:val="009C641B"/>
    <w:rsid w:val="009C675A"/>
    <w:rsid w:val="009C6A8D"/>
    <w:rsid w:val="009C6AAA"/>
    <w:rsid w:val="009C6D4D"/>
    <w:rsid w:val="009C7217"/>
    <w:rsid w:val="009C7AA6"/>
    <w:rsid w:val="009C7AD6"/>
    <w:rsid w:val="009C7BC9"/>
    <w:rsid w:val="009C7E19"/>
    <w:rsid w:val="009D0849"/>
    <w:rsid w:val="009D0E9A"/>
    <w:rsid w:val="009D0EAF"/>
    <w:rsid w:val="009D1243"/>
    <w:rsid w:val="009D1BB6"/>
    <w:rsid w:val="009D1E7A"/>
    <w:rsid w:val="009D1EE1"/>
    <w:rsid w:val="009D2DB1"/>
    <w:rsid w:val="009D2EAA"/>
    <w:rsid w:val="009D32EC"/>
    <w:rsid w:val="009D392D"/>
    <w:rsid w:val="009D4C1F"/>
    <w:rsid w:val="009D5C19"/>
    <w:rsid w:val="009D6792"/>
    <w:rsid w:val="009D6D7E"/>
    <w:rsid w:val="009D79B4"/>
    <w:rsid w:val="009E0539"/>
    <w:rsid w:val="009E123D"/>
    <w:rsid w:val="009E12BE"/>
    <w:rsid w:val="009E14D7"/>
    <w:rsid w:val="009E1FA1"/>
    <w:rsid w:val="009E25EC"/>
    <w:rsid w:val="009E25F7"/>
    <w:rsid w:val="009E2682"/>
    <w:rsid w:val="009E32EB"/>
    <w:rsid w:val="009E3A5C"/>
    <w:rsid w:val="009E3CC2"/>
    <w:rsid w:val="009E418D"/>
    <w:rsid w:val="009E41F2"/>
    <w:rsid w:val="009E459D"/>
    <w:rsid w:val="009E46AB"/>
    <w:rsid w:val="009E47A8"/>
    <w:rsid w:val="009E5CF6"/>
    <w:rsid w:val="009E642E"/>
    <w:rsid w:val="009E6A96"/>
    <w:rsid w:val="009F00ED"/>
    <w:rsid w:val="009F0D7A"/>
    <w:rsid w:val="009F19D7"/>
    <w:rsid w:val="009F1E10"/>
    <w:rsid w:val="009F2ED0"/>
    <w:rsid w:val="009F3C1A"/>
    <w:rsid w:val="009F3D80"/>
    <w:rsid w:val="009F4033"/>
    <w:rsid w:val="009F4F3D"/>
    <w:rsid w:val="009F5882"/>
    <w:rsid w:val="009F5CDF"/>
    <w:rsid w:val="009F5DB8"/>
    <w:rsid w:val="009F63AE"/>
    <w:rsid w:val="009F68E7"/>
    <w:rsid w:val="009F6BCF"/>
    <w:rsid w:val="009F7951"/>
    <w:rsid w:val="009F7CD1"/>
    <w:rsid w:val="00A00018"/>
    <w:rsid w:val="00A00238"/>
    <w:rsid w:val="00A0042C"/>
    <w:rsid w:val="00A00DA3"/>
    <w:rsid w:val="00A01484"/>
    <w:rsid w:val="00A02FA6"/>
    <w:rsid w:val="00A040B1"/>
    <w:rsid w:val="00A0448A"/>
    <w:rsid w:val="00A0478E"/>
    <w:rsid w:val="00A0488C"/>
    <w:rsid w:val="00A0611A"/>
    <w:rsid w:val="00A07334"/>
    <w:rsid w:val="00A073C9"/>
    <w:rsid w:val="00A07835"/>
    <w:rsid w:val="00A07987"/>
    <w:rsid w:val="00A10098"/>
    <w:rsid w:val="00A10410"/>
    <w:rsid w:val="00A10484"/>
    <w:rsid w:val="00A104D5"/>
    <w:rsid w:val="00A104F7"/>
    <w:rsid w:val="00A1062C"/>
    <w:rsid w:val="00A10950"/>
    <w:rsid w:val="00A11747"/>
    <w:rsid w:val="00A11C7D"/>
    <w:rsid w:val="00A121F9"/>
    <w:rsid w:val="00A123E2"/>
    <w:rsid w:val="00A1272D"/>
    <w:rsid w:val="00A12C88"/>
    <w:rsid w:val="00A138B8"/>
    <w:rsid w:val="00A141EC"/>
    <w:rsid w:val="00A14B39"/>
    <w:rsid w:val="00A15C25"/>
    <w:rsid w:val="00A15DF6"/>
    <w:rsid w:val="00A160C3"/>
    <w:rsid w:val="00A162C0"/>
    <w:rsid w:val="00A167E0"/>
    <w:rsid w:val="00A16AD3"/>
    <w:rsid w:val="00A16E9B"/>
    <w:rsid w:val="00A17A13"/>
    <w:rsid w:val="00A17CC1"/>
    <w:rsid w:val="00A17D3B"/>
    <w:rsid w:val="00A17D4A"/>
    <w:rsid w:val="00A17E12"/>
    <w:rsid w:val="00A20474"/>
    <w:rsid w:val="00A20515"/>
    <w:rsid w:val="00A21C5D"/>
    <w:rsid w:val="00A21F53"/>
    <w:rsid w:val="00A22211"/>
    <w:rsid w:val="00A22409"/>
    <w:rsid w:val="00A22CA6"/>
    <w:rsid w:val="00A22E24"/>
    <w:rsid w:val="00A22EAD"/>
    <w:rsid w:val="00A23655"/>
    <w:rsid w:val="00A2405C"/>
    <w:rsid w:val="00A245D1"/>
    <w:rsid w:val="00A24701"/>
    <w:rsid w:val="00A2484A"/>
    <w:rsid w:val="00A24E88"/>
    <w:rsid w:val="00A250C3"/>
    <w:rsid w:val="00A253F3"/>
    <w:rsid w:val="00A260AB"/>
    <w:rsid w:val="00A2614D"/>
    <w:rsid w:val="00A2641A"/>
    <w:rsid w:val="00A26991"/>
    <w:rsid w:val="00A26A04"/>
    <w:rsid w:val="00A271B1"/>
    <w:rsid w:val="00A272DD"/>
    <w:rsid w:val="00A300B9"/>
    <w:rsid w:val="00A309DC"/>
    <w:rsid w:val="00A3178D"/>
    <w:rsid w:val="00A318F3"/>
    <w:rsid w:val="00A31C2A"/>
    <w:rsid w:val="00A31E9F"/>
    <w:rsid w:val="00A321C2"/>
    <w:rsid w:val="00A33230"/>
    <w:rsid w:val="00A336B3"/>
    <w:rsid w:val="00A33AF2"/>
    <w:rsid w:val="00A340C0"/>
    <w:rsid w:val="00A346F5"/>
    <w:rsid w:val="00A35263"/>
    <w:rsid w:val="00A36030"/>
    <w:rsid w:val="00A361AD"/>
    <w:rsid w:val="00A36792"/>
    <w:rsid w:val="00A370C0"/>
    <w:rsid w:val="00A3730D"/>
    <w:rsid w:val="00A37F8F"/>
    <w:rsid w:val="00A4057F"/>
    <w:rsid w:val="00A40DB3"/>
    <w:rsid w:val="00A411E6"/>
    <w:rsid w:val="00A41A41"/>
    <w:rsid w:val="00A41A43"/>
    <w:rsid w:val="00A41A9D"/>
    <w:rsid w:val="00A41F34"/>
    <w:rsid w:val="00A41FAF"/>
    <w:rsid w:val="00A4289B"/>
    <w:rsid w:val="00A4393D"/>
    <w:rsid w:val="00A43BB9"/>
    <w:rsid w:val="00A454FC"/>
    <w:rsid w:val="00A4563E"/>
    <w:rsid w:val="00A45697"/>
    <w:rsid w:val="00A457E0"/>
    <w:rsid w:val="00A458B2"/>
    <w:rsid w:val="00A47CA0"/>
    <w:rsid w:val="00A502F8"/>
    <w:rsid w:val="00A50FB9"/>
    <w:rsid w:val="00A51FB2"/>
    <w:rsid w:val="00A536EF"/>
    <w:rsid w:val="00A5374A"/>
    <w:rsid w:val="00A53872"/>
    <w:rsid w:val="00A5462C"/>
    <w:rsid w:val="00A54A3B"/>
    <w:rsid w:val="00A54E3C"/>
    <w:rsid w:val="00A54F96"/>
    <w:rsid w:val="00A559BE"/>
    <w:rsid w:val="00A56496"/>
    <w:rsid w:val="00A565E7"/>
    <w:rsid w:val="00A56D26"/>
    <w:rsid w:val="00A57430"/>
    <w:rsid w:val="00A57FA8"/>
    <w:rsid w:val="00A604E9"/>
    <w:rsid w:val="00A6065B"/>
    <w:rsid w:val="00A60967"/>
    <w:rsid w:val="00A6104E"/>
    <w:rsid w:val="00A611B1"/>
    <w:rsid w:val="00A613CC"/>
    <w:rsid w:val="00A626CD"/>
    <w:rsid w:val="00A633A4"/>
    <w:rsid w:val="00A6341E"/>
    <w:rsid w:val="00A63B29"/>
    <w:rsid w:val="00A644DD"/>
    <w:rsid w:val="00A6555B"/>
    <w:rsid w:val="00A65B75"/>
    <w:rsid w:val="00A67070"/>
    <w:rsid w:val="00A6707D"/>
    <w:rsid w:val="00A675AB"/>
    <w:rsid w:val="00A676EA"/>
    <w:rsid w:val="00A708FD"/>
    <w:rsid w:val="00A7098C"/>
    <w:rsid w:val="00A70A1D"/>
    <w:rsid w:val="00A70DB1"/>
    <w:rsid w:val="00A716BD"/>
    <w:rsid w:val="00A716BF"/>
    <w:rsid w:val="00A71A95"/>
    <w:rsid w:val="00A71CC7"/>
    <w:rsid w:val="00A7212D"/>
    <w:rsid w:val="00A72207"/>
    <w:rsid w:val="00A726C6"/>
    <w:rsid w:val="00A72816"/>
    <w:rsid w:val="00A72BB4"/>
    <w:rsid w:val="00A72E77"/>
    <w:rsid w:val="00A7350E"/>
    <w:rsid w:val="00A741A1"/>
    <w:rsid w:val="00A74245"/>
    <w:rsid w:val="00A7513A"/>
    <w:rsid w:val="00A75A2B"/>
    <w:rsid w:val="00A763F7"/>
    <w:rsid w:val="00A7654F"/>
    <w:rsid w:val="00A7694C"/>
    <w:rsid w:val="00A77941"/>
    <w:rsid w:val="00A779B3"/>
    <w:rsid w:val="00A77E63"/>
    <w:rsid w:val="00A80213"/>
    <w:rsid w:val="00A802C3"/>
    <w:rsid w:val="00A80637"/>
    <w:rsid w:val="00A811C7"/>
    <w:rsid w:val="00A83FCB"/>
    <w:rsid w:val="00A84D57"/>
    <w:rsid w:val="00A85394"/>
    <w:rsid w:val="00A85966"/>
    <w:rsid w:val="00A85A96"/>
    <w:rsid w:val="00A85AC0"/>
    <w:rsid w:val="00A865D4"/>
    <w:rsid w:val="00A86F1A"/>
    <w:rsid w:val="00A872F2"/>
    <w:rsid w:val="00A87871"/>
    <w:rsid w:val="00A8791B"/>
    <w:rsid w:val="00A90A3E"/>
    <w:rsid w:val="00A90AFA"/>
    <w:rsid w:val="00A9182E"/>
    <w:rsid w:val="00A9192F"/>
    <w:rsid w:val="00A9198A"/>
    <w:rsid w:val="00A91BBA"/>
    <w:rsid w:val="00A91E8D"/>
    <w:rsid w:val="00A9241F"/>
    <w:rsid w:val="00A9274D"/>
    <w:rsid w:val="00A93B74"/>
    <w:rsid w:val="00A94BFD"/>
    <w:rsid w:val="00A95680"/>
    <w:rsid w:val="00A95708"/>
    <w:rsid w:val="00A95E48"/>
    <w:rsid w:val="00A96714"/>
    <w:rsid w:val="00A96972"/>
    <w:rsid w:val="00A96A52"/>
    <w:rsid w:val="00A9796F"/>
    <w:rsid w:val="00A97A47"/>
    <w:rsid w:val="00A97CC0"/>
    <w:rsid w:val="00AA027F"/>
    <w:rsid w:val="00AA0319"/>
    <w:rsid w:val="00AA12DB"/>
    <w:rsid w:val="00AA157F"/>
    <w:rsid w:val="00AA1BDB"/>
    <w:rsid w:val="00AA2835"/>
    <w:rsid w:val="00AA2E91"/>
    <w:rsid w:val="00AA2FA1"/>
    <w:rsid w:val="00AA30A3"/>
    <w:rsid w:val="00AA33AE"/>
    <w:rsid w:val="00AA340B"/>
    <w:rsid w:val="00AA385C"/>
    <w:rsid w:val="00AA3A59"/>
    <w:rsid w:val="00AA3A5A"/>
    <w:rsid w:val="00AA4C6E"/>
    <w:rsid w:val="00AA6684"/>
    <w:rsid w:val="00AA6B0A"/>
    <w:rsid w:val="00AA6E6F"/>
    <w:rsid w:val="00AA7044"/>
    <w:rsid w:val="00AA7408"/>
    <w:rsid w:val="00AA7D31"/>
    <w:rsid w:val="00AB0510"/>
    <w:rsid w:val="00AB0896"/>
    <w:rsid w:val="00AB0BD2"/>
    <w:rsid w:val="00AB21BB"/>
    <w:rsid w:val="00AB2408"/>
    <w:rsid w:val="00AB271D"/>
    <w:rsid w:val="00AB2804"/>
    <w:rsid w:val="00AB2CF9"/>
    <w:rsid w:val="00AB2EDD"/>
    <w:rsid w:val="00AB3339"/>
    <w:rsid w:val="00AB33F8"/>
    <w:rsid w:val="00AB403F"/>
    <w:rsid w:val="00AB405C"/>
    <w:rsid w:val="00AB4197"/>
    <w:rsid w:val="00AB434D"/>
    <w:rsid w:val="00AB4E0E"/>
    <w:rsid w:val="00AB5E92"/>
    <w:rsid w:val="00AB6180"/>
    <w:rsid w:val="00AB7922"/>
    <w:rsid w:val="00AB7D1B"/>
    <w:rsid w:val="00AC0407"/>
    <w:rsid w:val="00AC0507"/>
    <w:rsid w:val="00AC0792"/>
    <w:rsid w:val="00AC0E57"/>
    <w:rsid w:val="00AC2AC9"/>
    <w:rsid w:val="00AC3C98"/>
    <w:rsid w:val="00AC4845"/>
    <w:rsid w:val="00AC4D40"/>
    <w:rsid w:val="00AC570F"/>
    <w:rsid w:val="00AC713F"/>
    <w:rsid w:val="00AC73E8"/>
    <w:rsid w:val="00AC775A"/>
    <w:rsid w:val="00AC7764"/>
    <w:rsid w:val="00AC794A"/>
    <w:rsid w:val="00AD0F34"/>
    <w:rsid w:val="00AD186E"/>
    <w:rsid w:val="00AD19B3"/>
    <w:rsid w:val="00AD254E"/>
    <w:rsid w:val="00AD26D0"/>
    <w:rsid w:val="00AD41F2"/>
    <w:rsid w:val="00AD443B"/>
    <w:rsid w:val="00AD484F"/>
    <w:rsid w:val="00AD51E3"/>
    <w:rsid w:val="00AD5899"/>
    <w:rsid w:val="00AD5A92"/>
    <w:rsid w:val="00AD5F4E"/>
    <w:rsid w:val="00AD617A"/>
    <w:rsid w:val="00AD7D45"/>
    <w:rsid w:val="00AD7EAA"/>
    <w:rsid w:val="00AE06CF"/>
    <w:rsid w:val="00AE07B8"/>
    <w:rsid w:val="00AE0B95"/>
    <w:rsid w:val="00AE0E4E"/>
    <w:rsid w:val="00AE10C0"/>
    <w:rsid w:val="00AE14B4"/>
    <w:rsid w:val="00AE25D3"/>
    <w:rsid w:val="00AE279E"/>
    <w:rsid w:val="00AE2ABE"/>
    <w:rsid w:val="00AE2B5D"/>
    <w:rsid w:val="00AE35A0"/>
    <w:rsid w:val="00AE391F"/>
    <w:rsid w:val="00AE3E66"/>
    <w:rsid w:val="00AE424F"/>
    <w:rsid w:val="00AE4558"/>
    <w:rsid w:val="00AE476A"/>
    <w:rsid w:val="00AE4B0E"/>
    <w:rsid w:val="00AE5BF2"/>
    <w:rsid w:val="00AE5DB1"/>
    <w:rsid w:val="00AE622A"/>
    <w:rsid w:val="00AE6DF9"/>
    <w:rsid w:val="00AE7BAB"/>
    <w:rsid w:val="00AF0152"/>
    <w:rsid w:val="00AF0765"/>
    <w:rsid w:val="00AF122E"/>
    <w:rsid w:val="00AF13CF"/>
    <w:rsid w:val="00AF2F5F"/>
    <w:rsid w:val="00AF3234"/>
    <w:rsid w:val="00AF366C"/>
    <w:rsid w:val="00AF3743"/>
    <w:rsid w:val="00AF38C1"/>
    <w:rsid w:val="00AF3921"/>
    <w:rsid w:val="00AF41D3"/>
    <w:rsid w:val="00AF454B"/>
    <w:rsid w:val="00AF4BF1"/>
    <w:rsid w:val="00AF4CB9"/>
    <w:rsid w:val="00AF514E"/>
    <w:rsid w:val="00AF5A30"/>
    <w:rsid w:val="00AF5BA0"/>
    <w:rsid w:val="00AF67DD"/>
    <w:rsid w:val="00AF6D4F"/>
    <w:rsid w:val="00AF791D"/>
    <w:rsid w:val="00AF7EEE"/>
    <w:rsid w:val="00B0019C"/>
    <w:rsid w:val="00B01565"/>
    <w:rsid w:val="00B0156A"/>
    <w:rsid w:val="00B016EF"/>
    <w:rsid w:val="00B01C46"/>
    <w:rsid w:val="00B035EF"/>
    <w:rsid w:val="00B03923"/>
    <w:rsid w:val="00B040EB"/>
    <w:rsid w:val="00B04D1F"/>
    <w:rsid w:val="00B05136"/>
    <w:rsid w:val="00B05DF1"/>
    <w:rsid w:val="00B06343"/>
    <w:rsid w:val="00B06887"/>
    <w:rsid w:val="00B06C06"/>
    <w:rsid w:val="00B0787A"/>
    <w:rsid w:val="00B07DE2"/>
    <w:rsid w:val="00B07F05"/>
    <w:rsid w:val="00B1040D"/>
    <w:rsid w:val="00B1051D"/>
    <w:rsid w:val="00B10E70"/>
    <w:rsid w:val="00B11202"/>
    <w:rsid w:val="00B11891"/>
    <w:rsid w:val="00B11E9B"/>
    <w:rsid w:val="00B1317F"/>
    <w:rsid w:val="00B1322C"/>
    <w:rsid w:val="00B13440"/>
    <w:rsid w:val="00B13ABC"/>
    <w:rsid w:val="00B13EDF"/>
    <w:rsid w:val="00B143F3"/>
    <w:rsid w:val="00B14B74"/>
    <w:rsid w:val="00B15DD5"/>
    <w:rsid w:val="00B165F2"/>
    <w:rsid w:val="00B16A68"/>
    <w:rsid w:val="00B1711C"/>
    <w:rsid w:val="00B17F64"/>
    <w:rsid w:val="00B2037E"/>
    <w:rsid w:val="00B20ED5"/>
    <w:rsid w:val="00B21572"/>
    <w:rsid w:val="00B21C06"/>
    <w:rsid w:val="00B22216"/>
    <w:rsid w:val="00B2238D"/>
    <w:rsid w:val="00B2265D"/>
    <w:rsid w:val="00B22B09"/>
    <w:rsid w:val="00B22B56"/>
    <w:rsid w:val="00B2317E"/>
    <w:rsid w:val="00B2330C"/>
    <w:rsid w:val="00B2348C"/>
    <w:rsid w:val="00B24512"/>
    <w:rsid w:val="00B2485C"/>
    <w:rsid w:val="00B263BD"/>
    <w:rsid w:val="00B26FBE"/>
    <w:rsid w:val="00B272B0"/>
    <w:rsid w:val="00B27DEC"/>
    <w:rsid w:val="00B309D4"/>
    <w:rsid w:val="00B30DCC"/>
    <w:rsid w:val="00B30FC4"/>
    <w:rsid w:val="00B32B94"/>
    <w:rsid w:val="00B32E2D"/>
    <w:rsid w:val="00B33954"/>
    <w:rsid w:val="00B339F6"/>
    <w:rsid w:val="00B345EF"/>
    <w:rsid w:val="00B34619"/>
    <w:rsid w:val="00B34D79"/>
    <w:rsid w:val="00B3500B"/>
    <w:rsid w:val="00B35274"/>
    <w:rsid w:val="00B357BA"/>
    <w:rsid w:val="00B35F2C"/>
    <w:rsid w:val="00B36249"/>
    <w:rsid w:val="00B363C3"/>
    <w:rsid w:val="00B369BB"/>
    <w:rsid w:val="00B369CF"/>
    <w:rsid w:val="00B36B82"/>
    <w:rsid w:val="00B37139"/>
    <w:rsid w:val="00B375F9"/>
    <w:rsid w:val="00B37715"/>
    <w:rsid w:val="00B402CC"/>
    <w:rsid w:val="00B40673"/>
    <w:rsid w:val="00B40866"/>
    <w:rsid w:val="00B40ACC"/>
    <w:rsid w:val="00B40C5B"/>
    <w:rsid w:val="00B40DC1"/>
    <w:rsid w:val="00B40FB8"/>
    <w:rsid w:val="00B41337"/>
    <w:rsid w:val="00B4245C"/>
    <w:rsid w:val="00B430F3"/>
    <w:rsid w:val="00B43588"/>
    <w:rsid w:val="00B4393C"/>
    <w:rsid w:val="00B43ABF"/>
    <w:rsid w:val="00B43B28"/>
    <w:rsid w:val="00B466C1"/>
    <w:rsid w:val="00B46C10"/>
    <w:rsid w:val="00B46D3E"/>
    <w:rsid w:val="00B47072"/>
    <w:rsid w:val="00B47B61"/>
    <w:rsid w:val="00B47F98"/>
    <w:rsid w:val="00B5044A"/>
    <w:rsid w:val="00B51370"/>
    <w:rsid w:val="00B514FD"/>
    <w:rsid w:val="00B51F57"/>
    <w:rsid w:val="00B52DF4"/>
    <w:rsid w:val="00B52E82"/>
    <w:rsid w:val="00B52F48"/>
    <w:rsid w:val="00B53039"/>
    <w:rsid w:val="00B53A8E"/>
    <w:rsid w:val="00B53E96"/>
    <w:rsid w:val="00B541FA"/>
    <w:rsid w:val="00B5454F"/>
    <w:rsid w:val="00B549C0"/>
    <w:rsid w:val="00B54DFD"/>
    <w:rsid w:val="00B552AD"/>
    <w:rsid w:val="00B55887"/>
    <w:rsid w:val="00B575E2"/>
    <w:rsid w:val="00B5792F"/>
    <w:rsid w:val="00B60971"/>
    <w:rsid w:val="00B60DDE"/>
    <w:rsid w:val="00B6293D"/>
    <w:rsid w:val="00B62E13"/>
    <w:rsid w:val="00B63108"/>
    <w:rsid w:val="00B63A6C"/>
    <w:rsid w:val="00B657F4"/>
    <w:rsid w:val="00B65838"/>
    <w:rsid w:val="00B65B6C"/>
    <w:rsid w:val="00B65E85"/>
    <w:rsid w:val="00B66554"/>
    <w:rsid w:val="00B67575"/>
    <w:rsid w:val="00B678E6"/>
    <w:rsid w:val="00B67CB4"/>
    <w:rsid w:val="00B705DB"/>
    <w:rsid w:val="00B71923"/>
    <w:rsid w:val="00B719E1"/>
    <w:rsid w:val="00B727BF"/>
    <w:rsid w:val="00B736A4"/>
    <w:rsid w:val="00B743E4"/>
    <w:rsid w:val="00B7477A"/>
    <w:rsid w:val="00B74CFD"/>
    <w:rsid w:val="00B7531F"/>
    <w:rsid w:val="00B75F5A"/>
    <w:rsid w:val="00B76D39"/>
    <w:rsid w:val="00B77E7C"/>
    <w:rsid w:val="00B802D7"/>
    <w:rsid w:val="00B80AC0"/>
    <w:rsid w:val="00B80B61"/>
    <w:rsid w:val="00B80E91"/>
    <w:rsid w:val="00B819D0"/>
    <w:rsid w:val="00B81EA0"/>
    <w:rsid w:val="00B81FBF"/>
    <w:rsid w:val="00B8214E"/>
    <w:rsid w:val="00B8252A"/>
    <w:rsid w:val="00B82B23"/>
    <w:rsid w:val="00B82FFF"/>
    <w:rsid w:val="00B8307E"/>
    <w:rsid w:val="00B839B5"/>
    <w:rsid w:val="00B83B81"/>
    <w:rsid w:val="00B84289"/>
    <w:rsid w:val="00B8442E"/>
    <w:rsid w:val="00B84F47"/>
    <w:rsid w:val="00B857A2"/>
    <w:rsid w:val="00B857CD"/>
    <w:rsid w:val="00B862E1"/>
    <w:rsid w:val="00B8677C"/>
    <w:rsid w:val="00B87D66"/>
    <w:rsid w:val="00B9027A"/>
    <w:rsid w:val="00B902E8"/>
    <w:rsid w:val="00B90600"/>
    <w:rsid w:val="00B9060A"/>
    <w:rsid w:val="00B909AB"/>
    <w:rsid w:val="00B9115E"/>
    <w:rsid w:val="00B916A8"/>
    <w:rsid w:val="00B92774"/>
    <w:rsid w:val="00B92CEC"/>
    <w:rsid w:val="00B930FA"/>
    <w:rsid w:val="00B9357C"/>
    <w:rsid w:val="00B94228"/>
    <w:rsid w:val="00B94603"/>
    <w:rsid w:val="00B94F73"/>
    <w:rsid w:val="00B95A23"/>
    <w:rsid w:val="00B95EBD"/>
    <w:rsid w:val="00B96462"/>
    <w:rsid w:val="00B965BB"/>
    <w:rsid w:val="00B96B41"/>
    <w:rsid w:val="00B97506"/>
    <w:rsid w:val="00B97615"/>
    <w:rsid w:val="00B97691"/>
    <w:rsid w:val="00BA062B"/>
    <w:rsid w:val="00BA09A8"/>
    <w:rsid w:val="00BA0C4D"/>
    <w:rsid w:val="00BA1779"/>
    <w:rsid w:val="00BA17EB"/>
    <w:rsid w:val="00BA1A15"/>
    <w:rsid w:val="00BA1E7C"/>
    <w:rsid w:val="00BA3B08"/>
    <w:rsid w:val="00BA3E2E"/>
    <w:rsid w:val="00BA4C63"/>
    <w:rsid w:val="00BA51B5"/>
    <w:rsid w:val="00BA59C0"/>
    <w:rsid w:val="00BA5B8D"/>
    <w:rsid w:val="00BA5C42"/>
    <w:rsid w:val="00BA5F74"/>
    <w:rsid w:val="00BA6AAC"/>
    <w:rsid w:val="00BA731B"/>
    <w:rsid w:val="00BA7744"/>
    <w:rsid w:val="00BA774E"/>
    <w:rsid w:val="00BA7988"/>
    <w:rsid w:val="00BB0A68"/>
    <w:rsid w:val="00BB0BEF"/>
    <w:rsid w:val="00BB1670"/>
    <w:rsid w:val="00BB1AC2"/>
    <w:rsid w:val="00BB1B2F"/>
    <w:rsid w:val="00BB2E88"/>
    <w:rsid w:val="00BB33AC"/>
    <w:rsid w:val="00BB4E37"/>
    <w:rsid w:val="00BB50E3"/>
    <w:rsid w:val="00BB5254"/>
    <w:rsid w:val="00BB5B7C"/>
    <w:rsid w:val="00BB61A4"/>
    <w:rsid w:val="00BB62CB"/>
    <w:rsid w:val="00BB69C0"/>
    <w:rsid w:val="00BB6BF2"/>
    <w:rsid w:val="00BB70B3"/>
    <w:rsid w:val="00BB71CF"/>
    <w:rsid w:val="00BC0229"/>
    <w:rsid w:val="00BC19AB"/>
    <w:rsid w:val="00BC1BF0"/>
    <w:rsid w:val="00BC20F0"/>
    <w:rsid w:val="00BC2499"/>
    <w:rsid w:val="00BC2771"/>
    <w:rsid w:val="00BC2A2D"/>
    <w:rsid w:val="00BC43E5"/>
    <w:rsid w:val="00BC4C6C"/>
    <w:rsid w:val="00BC51CA"/>
    <w:rsid w:val="00BC54C0"/>
    <w:rsid w:val="00BC59E6"/>
    <w:rsid w:val="00BC6790"/>
    <w:rsid w:val="00BD05FB"/>
    <w:rsid w:val="00BD0851"/>
    <w:rsid w:val="00BD0C91"/>
    <w:rsid w:val="00BD0FB0"/>
    <w:rsid w:val="00BD0FFF"/>
    <w:rsid w:val="00BD1AA1"/>
    <w:rsid w:val="00BD32E2"/>
    <w:rsid w:val="00BD4238"/>
    <w:rsid w:val="00BD43AA"/>
    <w:rsid w:val="00BD4D97"/>
    <w:rsid w:val="00BD5B24"/>
    <w:rsid w:val="00BD5FA3"/>
    <w:rsid w:val="00BD6932"/>
    <w:rsid w:val="00BD696F"/>
    <w:rsid w:val="00BD6BD2"/>
    <w:rsid w:val="00BD7D03"/>
    <w:rsid w:val="00BE2327"/>
    <w:rsid w:val="00BE2BDD"/>
    <w:rsid w:val="00BE2CFA"/>
    <w:rsid w:val="00BE2E2C"/>
    <w:rsid w:val="00BE40BB"/>
    <w:rsid w:val="00BE47D2"/>
    <w:rsid w:val="00BE4E96"/>
    <w:rsid w:val="00BE5415"/>
    <w:rsid w:val="00BE55CD"/>
    <w:rsid w:val="00BE59AA"/>
    <w:rsid w:val="00BE5BFA"/>
    <w:rsid w:val="00BE6204"/>
    <w:rsid w:val="00BE6D2D"/>
    <w:rsid w:val="00BE6DFD"/>
    <w:rsid w:val="00BE7958"/>
    <w:rsid w:val="00BE7E62"/>
    <w:rsid w:val="00BF0514"/>
    <w:rsid w:val="00BF0812"/>
    <w:rsid w:val="00BF0994"/>
    <w:rsid w:val="00BF0C98"/>
    <w:rsid w:val="00BF120D"/>
    <w:rsid w:val="00BF146C"/>
    <w:rsid w:val="00BF1E7F"/>
    <w:rsid w:val="00BF220E"/>
    <w:rsid w:val="00BF26AE"/>
    <w:rsid w:val="00BF2DB5"/>
    <w:rsid w:val="00BF30D0"/>
    <w:rsid w:val="00BF3B1C"/>
    <w:rsid w:val="00BF4491"/>
    <w:rsid w:val="00BF53F7"/>
    <w:rsid w:val="00BF5461"/>
    <w:rsid w:val="00BF5901"/>
    <w:rsid w:val="00BF5CEB"/>
    <w:rsid w:val="00BF660F"/>
    <w:rsid w:val="00BF6D32"/>
    <w:rsid w:val="00BF6EE6"/>
    <w:rsid w:val="00BF7263"/>
    <w:rsid w:val="00BF783A"/>
    <w:rsid w:val="00BF78CF"/>
    <w:rsid w:val="00BF7913"/>
    <w:rsid w:val="00C00AED"/>
    <w:rsid w:val="00C00F46"/>
    <w:rsid w:val="00C0119F"/>
    <w:rsid w:val="00C02278"/>
    <w:rsid w:val="00C02553"/>
    <w:rsid w:val="00C02A1F"/>
    <w:rsid w:val="00C02D38"/>
    <w:rsid w:val="00C02F57"/>
    <w:rsid w:val="00C03797"/>
    <w:rsid w:val="00C037DD"/>
    <w:rsid w:val="00C04398"/>
    <w:rsid w:val="00C0439D"/>
    <w:rsid w:val="00C047D5"/>
    <w:rsid w:val="00C065F5"/>
    <w:rsid w:val="00C06CAC"/>
    <w:rsid w:val="00C071EA"/>
    <w:rsid w:val="00C07AB4"/>
    <w:rsid w:val="00C10EC9"/>
    <w:rsid w:val="00C11213"/>
    <w:rsid w:val="00C113EC"/>
    <w:rsid w:val="00C113F7"/>
    <w:rsid w:val="00C11B96"/>
    <w:rsid w:val="00C14106"/>
    <w:rsid w:val="00C16283"/>
    <w:rsid w:val="00C164B9"/>
    <w:rsid w:val="00C16DB6"/>
    <w:rsid w:val="00C20558"/>
    <w:rsid w:val="00C2055B"/>
    <w:rsid w:val="00C20B4B"/>
    <w:rsid w:val="00C21396"/>
    <w:rsid w:val="00C2255E"/>
    <w:rsid w:val="00C2268E"/>
    <w:rsid w:val="00C22C6A"/>
    <w:rsid w:val="00C237A9"/>
    <w:rsid w:val="00C237CE"/>
    <w:rsid w:val="00C239F2"/>
    <w:rsid w:val="00C23AA0"/>
    <w:rsid w:val="00C23BCB"/>
    <w:rsid w:val="00C243F3"/>
    <w:rsid w:val="00C245E9"/>
    <w:rsid w:val="00C24D69"/>
    <w:rsid w:val="00C24E04"/>
    <w:rsid w:val="00C24F3B"/>
    <w:rsid w:val="00C24FC1"/>
    <w:rsid w:val="00C2577F"/>
    <w:rsid w:val="00C25846"/>
    <w:rsid w:val="00C26429"/>
    <w:rsid w:val="00C26F20"/>
    <w:rsid w:val="00C27512"/>
    <w:rsid w:val="00C2763F"/>
    <w:rsid w:val="00C2799C"/>
    <w:rsid w:val="00C27CCB"/>
    <w:rsid w:val="00C307FD"/>
    <w:rsid w:val="00C30D26"/>
    <w:rsid w:val="00C3139F"/>
    <w:rsid w:val="00C31BBF"/>
    <w:rsid w:val="00C31E18"/>
    <w:rsid w:val="00C32132"/>
    <w:rsid w:val="00C3303C"/>
    <w:rsid w:val="00C33BA9"/>
    <w:rsid w:val="00C33BF2"/>
    <w:rsid w:val="00C33E1C"/>
    <w:rsid w:val="00C347A0"/>
    <w:rsid w:val="00C35DF4"/>
    <w:rsid w:val="00C36303"/>
    <w:rsid w:val="00C36DA4"/>
    <w:rsid w:val="00C371DA"/>
    <w:rsid w:val="00C372CA"/>
    <w:rsid w:val="00C40F3E"/>
    <w:rsid w:val="00C41BEF"/>
    <w:rsid w:val="00C41FE6"/>
    <w:rsid w:val="00C42056"/>
    <w:rsid w:val="00C421EA"/>
    <w:rsid w:val="00C424DA"/>
    <w:rsid w:val="00C427AB"/>
    <w:rsid w:val="00C43D9F"/>
    <w:rsid w:val="00C4580B"/>
    <w:rsid w:val="00C4616A"/>
    <w:rsid w:val="00C4716E"/>
    <w:rsid w:val="00C472D1"/>
    <w:rsid w:val="00C4734F"/>
    <w:rsid w:val="00C47ABF"/>
    <w:rsid w:val="00C47D97"/>
    <w:rsid w:val="00C47E91"/>
    <w:rsid w:val="00C5055F"/>
    <w:rsid w:val="00C50BC8"/>
    <w:rsid w:val="00C50F4F"/>
    <w:rsid w:val="00C510AD"/>
    <w:rsid w:val="00C510B3"/>
    <w:rsid w:val="00C511B2"/>
    <w:rsid w:val="00C5143C"/>
    <w:rsid w:val="00C5228C"/>
    <w:rsid w:val="00C52452"/>
    <w:rsid w:val="00C531F7"/>
    <w:rsid w:val="00C55D88"/>
    <w:rsid w:val="00C564C3"/>
    <w:rsid w:val="00C564EE"/>
    <w:rsid w:val="00C56C61"/>
    <w:rsid w:val="00C57453"/>
    <w:rsid w:val="00C602E5"/>
    <w:rsid w:val="00C6087D"/>
    <w:rsid w:val="00C60D1B"/>
    <w:rsid w:val="00C6124C"/>
    <w:rsid w:val="00C61653"/>
    <w:rsid w:val="00C62355"/>
    <w:rsid w:val="00C62762"/>
    <w:rsid w:val="00C62783"/>
    <w:rsid w:val="00C6290E"/>
    <w:rsid w:val="00C632A3"/>
    <w:rsid w:val="00C633BF"/>
    <w:rsid w:val="00C6393B"/>
    <w:rsid w:val="00C63FDC"/>
    <w:rsid w:val="00C64084"/>
    <w:rsid w:val="00C64C05"/>
    <w:rsid w:val="00C6506B"/>
    <w:rsid w:val="00C65CE4"/>
    <w:rsid w:val="00C65DE4"/>
    <w:rsid w:val="00C6659C"/>
    <w:rsid w:val="00C66A4F"/>
    <w:rsid w:val="00C67884"/>
    <w:rsid w:val="00C70636"/>
    <w:rsid w:val="00C7167F"/>
    <w:rsid w:val="00C71731"/>
    <w:rsid w:val="00C71A4B"/>
    <w:rsid w:val="00C727A8"/>
    <w:rsid w:val="00C72855"/>
    <w:rsid w:val="00C72873"/>
    <w:rsid w:val="00C74C9E"/>
    <w:rsid w:val="00C75167"/>
    <w:rsid w:val="00C77366"/>
    <w:rsid w:val="00C7761B"/>
    <w:rsid w:val="00C77B38"/>
    <w:rsid w:val="00C77E94"/>
    <w:rsid w:val="00C77E9D"/>
    <w:rsid w:val="00C804AC"/>
    <w:rsid w:val="00C806B0"/>
    <w:rsid w:val="00C80A7F"/>
    <w:rsid w:val="00C80D63"/>
    <w:rsid w:val="00C81B12"/>
    <w:rsid w:val="00C81B53"/>
    <w:rsid w:val="00C81E6E"/>
    <w:rsid w:val="00C826D4"/>
    <w:rsid w:val="00C82763"/>
    <w:rsid w:val="00C8289D"/>
    <w:rsid w:val="00C82D90"/>
    <w:rsid w:val="00C83311"/>
    <w:rsid w:val="00C836AE"/>
    <w:rsid w:val="00C839E6"/>
    <w:rsid w:val="00C83A52"/>
    <w:rsid w:val="00C84B35"/>
    <w:rsid w:val="00C84CD6"/>
    <w:rsid w:val="00C853E2"/>
    <w:rsid w:val="00C85423"/>
    <w:rsid w:val="00C85C16"/>
    <w:rsid w:val="00C8675C"/>
    <w:rsid w:val="00C87B4A"/>
    <w:rsid w:val="00C87D67"/>
    <w:rsid w:val="00C87EAC"/>
    <w:rsid w:val="00C901F4"/>
    <w:rsid w:val="00C90A1E"/>
    <w:rsid w:val="00C90C3E"/>
    <w:rsid w:val="00C91AC7"/>
    <w:rsid w:val="00C91CC5"/>
    <w:rsid w:val="00C920C2"/>
    <w:rsid w:val="00C922D8"/>
    <w:rsid w:val="00C92F57"/>
    <w:rsid w:val="00C93067"/>
    <w:rsid w:val="00C9380C"/>
    <w:rsid w:val="00C93938"/>
    <w:rsid w:val="00C93AC4"/>
    <w:rsid w:val="00C94222"/>
    <w:rsid w:val="00C94AEA"/>
    <w:rsid w:val="00C950ED"/>
    <w:rsid w:val="00C95533"/>
    <w:rsid w:val="00C9580A"/>
    <w:rsid w:val="00C95882"/>
    <w:rsid w:val="00C95E8D"/>
    <w:rsid w:val="00C96AE2"/>
    <w:rsid w:val="00C97388"/>
    <w:rsid w:val="00C977D6"/>
    <w:rsid w:val="00C97E71"/>
    <w:rsid w:val="00CA10F6"/>
    <w:rsid w:val="00CA1D0B"/>
    <w:rsid w:val="00CA1D52"/>
    <w:rsid w:val="00CA1E79"/>
    <w:rsid w:val="00CA2207"/>
    <w:rsid w:val="00CA277C"/>
    <w:rsid w:val="00CA3003"/>
    <w:rsid w:val="00CA33EF"/>
    <w:rsid w:val="00CA3C0D"/>
    <w:rsid w:val="00CA41F9"/>
    <w:rsid w:val="00CA43D7"/>
    <w:rsid w:val="00CA5586"/>
    <w:rsid w:val="00CA6462"/>
    <w:rsid w:val="00CA6F73"/>
    <w:rsid w:val="00CA723E"/>
    <w:rsid w:val="00CA74F2"/>
    <w:rsid w:val="00CA7B4C"/>
    <w:rsid w:val="00CB0178"/>
    <w:rsid w:val="00CB066C"/>
    <w:rsid w:val="00CB0BBA"/>
    <w:rsid w:val="00CB1C60"/>
    <w:rsid w:val="00CB2276"/>
    <w:rsid w:val="00CB2684"/>
    <w:rsid w:val="00CB29D3"/>
    <w:rsid w:val="00CB2CBA"/>
    <w:rsid w:val="00CB2F25"/>
    <w:rsid w:val="00CB3E1E"/>
    <w:rsid w:val="00CB417C"/>
    <w:rsid w:val="00CB4470"/>
    <w:rsid w:val="00CB51A2"/>
    <w:rsid w:val="00CB5976"/>
    <w:rsid w:val="00CB6634"/>
    <w:rsid w:val="00CB725B"/>
    <w:rsid w:val="00CB74B6"/>
    <w:rsid w:val="00CC0F6F"/>
    <w:rsid w:val="00CC2372"/>
    <w:rsid w:val="00CC27CD"/>
    <w:rsid w:val="00CC39E4"/>
    <w:rsid w:val="00CC4530"/>
    <w:rsid w:val="00CC4699"/>
    <w:rsid w:val="00CC4797"/>
    <w:rsid w:val="00CC58F6"/>
    <w:rsid w:val="00CC6C55"/>
    <w:rsid w:val="00CC796A"/>
    <w:rsid w:val="00CC7F1E"/>
    <w:rsid w:val="00CD043C"/>
    <w:rsid w:val="00CD066F"/>
    <w:rsid w:val="00CD079A"/>
    <w:rsid w:val="00CD0950"/>
    <w:rsid w:val="00CD10C9"/>
    <w:rsid w:val="00CD126E"/>
    <w:rsid w:val="00CD1579"/>
    <w:rsid w:val="00CD1A3C"/>
    <w:rsid w:val="00CD1C0A"/>
    <w:rsid w:val="00CD21CD"/>
    <w:rsid w:val="00CD257A"/>
    <w:rsid w:val="00CD29E6"/>
    <w:rsid w:val="00CD2DD8"/>
    <w:rsid w:val="00CD3C2E"/>
    <w:rsid w:val="00CD3D6D"/>
    <w:rsid w:val="00CD3EA6"/>
    <w:rsid w:val="00CD3F55"/>
    <w:rsid w:val="00CD424E"/>
    <w:rsid w:val="00CD43BA"/>
    <w:rsid w:val="00CD449F"/>
    <w:rsid w:val="00CD488C"/>
    <w:rsid w:val="00CD4A47"/>
    <w:rsid w:val="00CD4B56"/>
    <w:rsid w:val="00CD5A44"/>
    <w:rsid w:val="00CD5AF9"/>
    <w:rsid w:val="00CD5B48"/>
    <w:rsid w:val="00CE0471"/>
    <w:rsid w:val="00CE0897"/>
    <w:rsid w:val="00CE1A89"/>
    <w:rsid w:val="00CE1BC2"/>
    <w:rsid w:val="00CE23C0"/>
    <w:rsid w:val="00CE37F9"/>
    <w:rsid w:val="00CE3F5F"/>
    <w:rsid w:val="00CE3F61"/>
    <w:rsid w:val="00CE4397"/>
    <w:rsid w:val="00CE4852"/>
    <w:rsid w:val="00CE4AA9"/>
    <w:rsid w:val="00CE69DD"/>
    <w:rsid w:val="00CE6BD0"/>
    <w:rsid w:val="00CE6C14"/>
    <w:rsid w:val="00CE7353"/>
    <w:rsid w:val="00CF01B2"/>
    <w:rsid w:val="00CF03EC"/>
    <w:rsid w:val="00CF03F3"/>
    <w:rsid w:val="00CF0453"/>
    <w:rsid w:val="00CF0754"/>
    <w:rsid w:val="00CF0A66"/>
    <w:rsid w:val="00CF1245"/>
    <w:rsid w:val="00CF154A"/>
    <w:rsid w:val="00CF1EA2"/>
    <w:rsid w:val="00CF1FE8"/>
    <w:rsid w:val="00CF2A7B"/>
    <w:rsid w:val="00CF31D4"/>
    <w:rsid w:val="00CF440C"/>
    <w:rsid w:val="00CF5251"/>
    <w:rsid w:val="00CF6193"/>
    <w:rsid w:val="00CF7C38"/>
    <w:rsid w:val="00D00047"/>
    <w:rsid w:val="00D009BE"/>
    <w:rsid w:val="00D00D33"/>
    <w:rsid w:val="00D010EE"/>
    <w:rsid w:val="00D0184A"/>
    <w:rsid w:val="00D01AA2"/>
    <w:rsid w:val="00D0247D"/>
    <w:rsid w:val="00D024D6"/>
    <w:rsid w:val="00D02971"/>
    <w:rsid w:val="00D02AEE"/>
    <w:rsid w:val="00D02DE0"/>
    <w:rsid w:val="00D0354C"/>
    <w:rsid w:val="00D04059"/>
    <w:rsid w:val="00D04B09"/>
    <w:rsid w:val="00D04D01"/>
    <w:rsid w:val="00D05202"/>
    <w:rsid w:val="00D05A3E"/>
    <w:rsid w:val="00D05AC0"/>
    <w:rsid w:val="00D074AE"/>
    <w:rsid w:val="00D074EB"/>
    <w:rsid w:val="00D07CA2"/>
    <w:rsid w:val="00D100BF"/>
    <w:rsid w:val="00D10FB0"/>
    <w:rsid w:val="00D1257B"/>
    <w:rsid w:val="00D1261D"/>
    <w:rsid w:val="00D129A7"/>
    <w:rsid w:val="00D136EE"/>
    <w:rsid w:val="00D13AEE"/>
    <w:rsid w:val="00D13CD0"/>
    <w:rsid w:val="00D14BED"/>
    <w:rsid w:val="00D15113"/>
    <w:rsid w:val="00D154BE"/>
    <w:rsid w:val="00D15BA0"/>
    <w:rsid w:val="00D15F56"/>
    <w:rsid w:val="00D16161"/>
    <w:rsid w:val="00D1707F"/>
    <w:rsid w:val="00D17B91"/>
    <w:rsid w:val="00D17DF2"/>
    <w:rsid w:val="00D200AD"/>
    <w:rsid w:val="00D205FC"/>
    <w:rsid w:val="00D20F13"/>
    <w:rsid w:val="00D2162B"/>
    <w:rsid w:val="00D22855"/>
    <w:rsid w:val="00D23D89"/>
    <w:rsid w:val="00D23E60"/>
    <w:rsid w:val="00D2420C"/>
    <w:rsid w:val="00D2513E"/>
    <w:rsid w:val="00D25B51"/>
    <w:rsid w:val="00D25EBB"/>
    <w:rsid w:val="00D26096"/>
    <w:rsid w:val="00D262AD"/>
    <w:rsid w:val="00D27355"/>
    <w:rsid w:val="00D27D78"/>
    <w:rsid w:val="00D27DD9"/>
    <w:rsid w:val="00D308F1"/>
    <w:rsid w:val="00D30ABF"/>
    <w:rsid w:val="00D31797"/>
    <w:rsid w:val="00D32B72"/>
    <w:rsid w:val="00D3312C"/>
    <w:rsid w:val="00D3367C"/>
    <w:rsid w:val="00D34B9B"/>
    <w:rsid w:val="00D34C42"/>
    <w:rsid w:val="00D35937"/>
    <w:rsid w:val="00D35EEB"/>
    <w:rsid w:val="00D3625E"/>
    <w:rsid w:val="00D368D8"/>
    <w:rsid w:val="00D37696"/>
    <w:rsid w:val="00D37E0B"/>
    <w:rsid w:val="00D406AF"/>
    <w:rsid w:val="00D41835"/>
    <w:rsid w:val="00D4213F"/>
    <w:rsid w:val="00D4261F"/>
    <w:rsid w:val="00D426AE"/>
    <w:rsid w:val="00D42D31"/>
    <w:rsid w:val="00D42DDF"/>
    <w:rsid w:val="00D42EA5"/>
    <w:rsid w:val="00D4440F"/>
    <w:rsid w:val="00D45528"/>
    <w:rsid w:val="00D4670E"/>
    <w:rsid w:val="00D46DD5"/>
    <w:rsid w:val="00D47114"/>
    <w:rsid w:val="00D5060F"/>
    <w:rsid w:val="00D50D32"/>
    <w:rsid w:val="00D51C0E"/>
    <w:rsid w:val="00D51CAD"/>
    <w:rsid w:val="00D51FDC"/>
    <w:rsid w:val="00D5200D"/>
    <w:rsid w:val="00D52DF1"/>
    <w:rsid w:val="00D53BF4"/>
    <w:rsid w:val="00D5543A"/>
    <w:rsid w:val="00D56755"/>
    <w:rsid w:val="00D56E75"/>
    <w:rsid w:val="00D56F67"/>
    <w:rsid w:val="00D5779B"/>
    <w:rsid w:val="00D5785C"/>
    <w:rsid w:val="00D57C5C"/>
    <w:rsid w:val="00D60219"/>
    <w:rsid w:val="00D602A2"/>
    <w:rsid w:val="00D60401"/>
    <w:rsid w:val="00D6068F"/>
    <w:rsid w:val="00D6095C"/>
    <w:rsid w:val="00D60C76"/>
    <w:rsid w:val="00D60C99"/>
    <w:rsid w:val="00D61260"/>
    <w:rsid w:val="00D61467"/>
    <w:rsid w:val="00D61663"/>
    <w:rsid w:val="00D6210D"/>
    <w:rsid w:val="00D62434"/>
    <w:rsid w:val="00D62808"/>
    <w:rsid w:val="00D62AD7"/>
    <w:rsid w:val="00D62C19"/>
    <w:rsid w:val="00D63080"/>
    <w:rsid w:val="00D63F46"/>
    <w:rsid w:val="00D63FC2"/>
    <w:rsid w:val="00D64289"/>
    <w:rsid w:val="00D643C5"/>
    <w:rsid w:val="00D646EE"/>
    <w:rsid w:val="00D64719"/>
    <w:rsid w:val="00D6479E"/>
    <w:rsid w:val="00D64F47"/>
    <w:rsid w:val="00D64F99"/>
    <w:rsid w:val="00D6556A"/>
    <w:rsid w:val="00D6600F"/>
    <w:rsid w:val="00D66592"/>
    <w:rsid w:val="00D66D1E"/>
    <w:rsid w:val="00D66D59"/>
    <w:rsid w:val="00D6773B"/>
    <w:rsid w:val="00D702C7"/>
    <w:rsid w:val="00D71AE7"/>
    <w:rsid w:val="00D71C2E"/>
    <w:rsid w:val="00D7205E"/>
    <w:rsid w:val="00D72B9F"/>
    <w:rsid w:val="00D72BCE"/>
    <w:rsid w:val="00D7327C"/>
    <w:rsid w:val="00D73636"/>
    <w:rsid w:val="00D73A73"/>
    <w:rsid w:val="00D73BBB"/>
    <w:rsid w:val="00D73D71"/>
    <w:rsid w:val="00D74352"/>
    <w:rsid w:val="00D74ACC"/>
    <w:rsid w:val="00D75B2C"/>
    <w:rsid w:val="00D75BAA"/>
    <w:rsid w:val="00D76686"/>
    <w:rsid w:val="00D76A57"/>
    <w:rsid w:val="00D776F8"/>
    <w:rsid w:val="00D80164"/>
    <w:rsid w:val="00D80D1F"/>
    <w:rsid w:val="00D818F2"/>
    <w:rsid w:val="00D81CBD"/>
    <w:rsid w:val="00D8209F"/>
    <w:rsid w:val="00D82332"/>
    <w:rsid w:val="00D82B20"/>
    <w:rsid w:val="00D83470"/>
    <w:rsid w:val="00D84EF6"/>
    <w:rsid w:val="00D851D3"/>
    <w:rsid w:val="00D8520A"/>
    <w:rsid w:val="00D866A5"/>
    <w:rsid w:val="00D87386"/>
    <w:rsid w:val="00D9048C"/>
    <w:rsid w:val="00D90B33"/>
    <w:rsid w:val="00D90E4C"/>
    <w:rsid w:val="00D9193B"/>
    <w:rsid w:val="00D919D9"/>
    <w:rsid w:val="00D92401"/>
    <w:rsid w:val="00D929B7"/>
    <w:rsid w:val="00D9366D"/>
    <w:rsid w:val="00D939A6"/>
    <w:rsid w:val="00D93F3C"/>
    <w:rsid w:val="00D9445A"/>
    <w:rsid w:val="00D946F3"/>
    <w:rsid w:val="00D9514A"/>
    <w:rsid w:val="00D96B92"/>
    <w:rsid w:val="00D96C67"/>
    <w:rsid w:val="00D96FB4"/>
    <w:rsid w:val="00D97CEE"/>
    <w:rsid w:val="00DA005F"/>
    <w:rsid w:val="00DA1050"/>
    <w:rsid w:val="00DA11ED"/>
    <w:rsid w:val="00DA11EF"/>
    <w:rsid w:val="00DA12D4"/>
    <w:rsid w:val="00DA21D0"/>
    <w:rsid w:val="00DA2397"/>
    <w:rsid w:val="00DA26D3"/>
    <w:rsid w:val="00DA2D61"/>
    <w:rsid w:val="00DA3316"/>
    <w:rsid w:val="00DA39B3"/>
    <w:rsid w:val="00DA432C"/>
    <w:rsid w:val="00DA449E"/>
    <w:rsid w:val="00DA5034"/>
    <w:rsid w:val="00DA5041"/>
    <w:rsid w:val="00DA575A"/>
    <w:rsid w:val="00DA5EF4"/>
    <w:rsid w:val="00DA6F30"/>
    <w:rsid w:val="00DA7A74"/>
    <w:rsid w:val="00DA7AC5"/>
    <w:rsid w:val="00DA7DE8"/>
    <w:rsid w:val="00DB00F7"/>
    <w:rsid w:val="00DB1356"/>
    <w:rsid w:val="00DB2DEC"/>
    <w:rsid w:val="00DB316A"/>
    <w:rsid w:val="00DB3849"/>
    <w:rsid w:val="00DB3DE5"/>
    <w:rsid w:val="00DB42CA"/>
    <w:rsid w:val="00DB4E95"/>
    <w:rsid w:val="00DB5006"/>
    <w:rsid w:val="00DB577F"/>
    <w:rsid w:val="00DB6540"/>
    <w:rsid w:val="00DB6D72"/>
    <w:rsid w:val="00DB761C"/>
    <w:rsid w:val="00DB77EE"/>
    <w:rsid w:val="00DC010B"/>
    <w:rsid w:val="00DC13CB"/>
    <w:rsid w:val="00DC1813"/>
    <w:rsid w:val="00DC210C"/>
    <w:rsid w:val="00DC2352"/>
    <w:rsid w:val="00DC2523"/>
    <w:rsid w:val="00DC2D1B"/>
    <w:rsid w:val="00DC3495"/>
    <w:rsid w:val="00DC3F89"/>
    <w:rsid w:val="00DC491F"/>
    <w:rsid w:val="00DC56CE"/>
    <w:rsid w:val="00DC5CAF"/>
    <w:rsid w:val="00DC673E"/>
    <w:rsid w:val="00DC6749"/>
    <w:rsid w:val="00DC6928"/>
    <w:rsid w:val="00DC71B2"/>
    <w:rsid w:val="00DC7242"/>
    <w:rsid w:val="00DC73A5"/>
    <w:rsid w:val="00DD11B3"/>
    <w:rsid w:val="00DD1238"/>
    <w:rsid w:val="00DD18B8"/>
    <w:rsid w:val="00DD18C6"/>
    <w:rsid w:val="00DD3550"/>
    <w:rsid w:val="00DD35A5"/>
    <w:rsid w:val="00DD391F"/>
    <w:rsid w:val="00DD4980"/>
    <w:rsid w:val="00DD4E9E"/>
    <w:rsid w:val="00DD50A9"/>
    <w:rsid w:val="00DD60F4"/>
    <w:rsid w:val="00DD66F2"/>
    <w:rsid w:val="00DD6B77"/>
    <w:rsid w:val="00DD6CA5"/>
    <w:rsid w:val="00DD6FB7"/>
    <w:rsid w:val="00DD7F2D"/>
    <w:rsid w:val="00DE0028"/>
    <w:rsid w:val="00DE042E"/>
    <w:rsid w:val="00DE09F4"/>
    <w:rsid w:val="00DE13D8"/>
    <w:rsid w:val="00DE1949"/>
    <w:rsid w:val="00DE2457"/>
    <w:rsid w:val="00DE2573"/>
    <w:rsid w:val="00DE2590"/>
    <w:rsid w:val="00DE284E"/>
    <w:rsid w:val="00DE30DD"/>
    <w:rsid w:val="00DE4D2F"/>
    <w:rsid w:val="00DE5916"/>
    <w:rsid w:val="00DE5F81"/>
    <w:rsid w:val="00DE7860"/>
    <w:rsid w:val="00DE7B93"/>
    <w:rsid w:val="00DF0723"/>
    <w:rsid w:val="00DF0ECA"/>
    <w:rsid w:val="00DF275F"/>
    <w:rsid w:val="00DF3D05"/>
    <w:rsid w:val="00DF3E1A"/>
    <w:rsid w:val="00DF41F2"/>
    <w:rsid w:val="00DF49E9"/>
    <w:rsid w:val="00DF4B09"/>
    <w:rsid w:val="00DF54D6"/>
    <w:rsid w:val="00DF56AA"/>
    <w:rsid w:val="00DF5D9F"/>
    <w:rsid w:val="00DF673E"/>
    <w:rsid w:val="00DF6857"/>
    <w:rsid w:val="00DF6DC2"/>
    <w:rsid w:val="00E0036F"/>
    <w:rsid w:val="00E00576"/>
    <w:rsid w:val="00E00A9B"/>
    <w:rsid w:val="00E00AA2"/>
    <w:rsid w:val="00E00ADB"/>
    <w:rsid w:val="00E00C5B"/>
    <w:rsid w:val="00E02960"/>
    <w:rsid w:val="00E02D3C"/>
    <w:rsid w:val="00E02E46"/>
    <w:rsid w:val="00E04610"/>
    <w:rsid w:val="00E04FED"/>
    <w:rsid w:val="00E04FF4"/>
    <w:rsid w:val="00E0528E"/>
    <w:rsid w:val="00E0599D"/>
    <w:rsid w:val="00E059BB"/>
    <w:rsid w:val="00E06012"/>
    <w:rsid w:val="00E0671E"/>
    <w:rsid w:val="00E06C1B"/>
    <w:rsid w:val="00E06F78"/>
    <w:rsid w:val="00E108FB"/>
    <w:rsid w:val="00E10F52"/>
    <w:rsid w:val="00E11062"/>
    <w:rsid w:val="00E1128E"/>
    <w:rsid w:val="00E1364F"/>
    <w:rsid w:val="00E13D76"/>
    <w:rsid w:val="00E14208"/>
    <w:rsid w:val="00E1423B"/>
    <w:rsid w:val="00E146CD"/>
    <w:rsid w:val="00E15182"/>
    <w:rsid w:val="00E15365"/>
    <w:rsid w:val="00E1575E"/>
    <w:rsid w:val="00E15841"/>
    <w:rsid w:val="00E1646A"/>
    <w:rsid w:val="00E164C5"/>
    <w:rsid w:val="00E16E9E"/>
    <w:rsid w:val="00E17141"/>
    <w:rsid w:val="00E20B66"/>
    <w:rsid w:val="00E217B7"/>
    <w:rsid w:val="00E22BCF"/>
    <w:rsid w:val="00E23286"/>
    <w:rsid w:val="00E23355"/>
    <w:rsid w:val="00E242B9"/>
    <w:rsid w:val="00E24666"/>
    <w:rsid w:val="00E24ADB"/>
    <w:rsid w:val="00E25202"/>
    <w:rsid w:val="00E25372"/>
    <w:rsid w:val="00E25C1E"/>
    <w:rsid w:val="00E25D02"/>
    <w:rsid w:val="00E26C90"/>
    <w:rsid w:val="00E27E84"/>
    <w:rsid w:val="00E30CD4"/>
    <w:rsid w:val="00E30FFD"/>
    <w:rsid w:val="00E3182D"/>
    <w:rsid w:val="00E321B9"/>
    <w:rsid w:val="00E3264B"/>
    <w:rsid w:val="00E32687"/>
    <w:rsid w:val="00E327FA"/>
    <w:rsid w:val="00E33207"/>
    <w:rsid w:val="00E33C79"/>
    <w:rsid w:val="00E34176"/>
    <w:rsid w:val="00E341BD"/>
    <w:rsid w:val="00E34685"/>
    <w:rsid w:val="00E35D75"/>
    <w:rsid w:val="00E35E4A"/>
    <w:rsid w:val="00E36139"/>
    <w:rsid w:val="00E36FFA"/>
    <w:rsid w:val="00E371DD"/>
    <w:rsid w:val="00E402B7"/>
    <w:rsid w:val="00E40B48"/>
    <w:rsid w:val="00E40C14"/>
    <w:rsid w:val="00E41BA0"/>
    <w:rsid w:val="00E42E96"/>
    <w:rsid w:val="00E436EB"/>
    <w:rsid w:val="00E443AB"/>
    <w:rsid w:val="00E448F7"/>
    <w:rsid w:val="00E44F99"/>
    <w:rsid w:val="00E450DE"/>
    <w:rsid w:val="00E45A81"/>
    <w:rsid w:val="00E45E89"/>
    <w:rsid w:val="00E465CA"/>
    <w:rsid w:val="00E467CF"/>
    <w:rsid w:val="00E47391"/>
    <w:rsid w:val="00E47682"/>
    <w:rsid w:val="00E476F6"/>
    <w:rsid w:val="00E47707"/>
    <w:rsid w:val="00E51AA5"/>
    <w:rsid w:val="00E51B3F"/>
    <w:rsid w:val="00E5274F"/>
    <w:rsid w:val="00E52C66"/>
    <w:rsid w:val="00E53C17"/>
    <w:rsid w:val="00E53DC2"/>
    <w:rsid w:val="00E5410D"/>
    <w:rsid w:val="00E541FD"/>
    <w:rsid w:val="00E5470C"/>
    <w:rsid w:val="00E549EE"/>
    <w:rsid w:val="00E55421"/>
    <w:rsid w:val="00E55580"/>
    <w:rsid w:val="00E56763"/>
    <w:rsid w:val="00E56A46"/>
    <w:rsid w:val="00E56B30"/>
    <w:rsid w:val="00E5712C"/>
    <w:rsid w:val="00E573CB"/>
    <w:rsid w:val="00E575F6"/>
    <w:rsid w:val="00E57ACF"/>
    <w:rsid w:val="00E57EAB"/>
    <w:rsid w:val="00E6057F"/>
    <w:rsid w:val="00E606F4"/>
    <w:rsid w:val="00E61245"/>
    <w:rsid w:val="00E62B9F"/>
    <w:rsid w:val="00E63DB6"/>
    <w:rsid w:val="00E6468D"/>
    <w:rsid w:val="00E6478D"/>
    <w:rsid w:val="00E6501A"/>
    <w:rsid w:val="00E65252"/>
    <w:rsid w:val="00E6532D"/>
    <w:rsid w:val="00E6547F"/>
    <w:rsid w:val="00E65861"/>
    <w:rsid w:val="00E6736E"/>
    <w:rsid w:val="00E67A67"/>
    <w:rsid w:val="00E7066F"/>
    <w:rsid w:val="00E70883"/>
    <w:rsid w:val="00E710E4"/>
    <w:rsid w:val="00E711FC"/>
    <w:rsid w:val="00E715E3"/>
    <w:rsid w:val="00E7242E"/>
    <w:rsid w:val="00E73E6B"/>
    <w:rsid w:val="00E74531"/>
    <w:rsid w:val="00E74718"/>
    <w:rsid w:val="00E750BD"/>
    <w:rsid w:val="00E7553B"/>
    <w:rsid w:val="00E7624B"/>
    <w:rsid w:val="00E76E44"/>
    <w:rsid w:val="00E77CDF"/>
    <w:rsid w:val="00E77D83"/>
    <w:rsid w:val="00E77EB3"/>
    <w:rsid w:val="00E800AF"/>
    <w:rsid w:val="00E80A85"/>
    <w:rsid w:val="00E80BAB"/>
    <w:rsid w:val="00E80F54"/>
    <w:rsid w:val="00E81472"/>
    <w:rsid w:val="00E814A4"/>
    <w:rsid w:val="00E815BE"/>
    <w:rsid w:val="00E81834"/>
    <w:rsid w:val="00E81FF4"/>
    <w:rsid w:val="00E82133"/>
    <w:rsid w:val="00E82751"/>
    <w:rsid w:val="00E82818"/>
    <w:rsid w:val="00E82E10"/>
    <w:rsid w:val="00E834A9"/>
    <w:rsid w:val="00E83843"/>
    <w:rsid w:val="00E838CB"/>
    <w:rsid w:val="00E83B4A"/>
    <w:rsid w:val="00E840CD"/>
    <w:rsid w:val="00E8488B"/>
    <w:rsid w:val="00E84E5D"/>
    <w:rsid w:val="00E85487"/>
    <w:rsid w:val="00E854CE"/>
    <w:rsid w:val="00E8552D"/>
    <w:rsid w:val="00E85668"/>
    <w:rsid w:val="00E85AB0"/>
    <w:rsid w:val="00E85ADC"/>
    <w:rsid w:val="00E85C4A"/>
    <w:rsid w:val="00E86C45"/>
    <w:rsid w:val="00E8784E"/>
    <w:rsid w:val="00E87DD7"/>
    <w:rsid w:val="00E90515"/>
    <w:rsid w:val="00E90AB3"/>
    <w:rsid w:val="00E90D13"/>
    <w:rsid w:val="00E91A4D"/>
    <w:rsid w:val="00E925AA"/>
    <w:rsid w:val="00E93DC1"/>
    <w:rsid w:val="00E94467"/>
    <w:rsid w:val="00E94699"/>
    <w:rsid w:val="00E94A2C"/>
    <w:rsid w:val="00E94D9C"/>
    <w:rsid w:val="00E94F14"/>
    <w:rsid w:val="00E9556E"/>
    <w:rsid w:val="00E95792"/>
    <w:rsid w:val="00E96753"/>
    <w:rsid w:val="00E96849"/>
    <w:rsid w:val="00E970D1"/>
    <w:rsid w:val="00EA006D"/>
    <w:rsid w:val="00EA01E2"/>
    <w:rsid w:val="00EA0BF5"/>
    <w:rsid w:val="00EA14A5"/>
    <w:rsid w:val="00EA1B9D"/>
    <w:rsid w:val="00EA2680"/>
    <w:rsid w:val="00EA2983"/>
    <w:rsid w:val="00EA2B35"/>
    <w:rsid w:val="00EA2CEA"/>
    <w:rsid w:val="00EA2DD0"/>
    <w:rsid w:val="00EA4DF2"/>
    <w:rsid w:val="00EA554A"/>
    <w:rsid w:val="00EA5BD3"/>
    <w:rsid w:val="00EA6C08"/>
    <w:rsid w:val="00EB0685"/>
    <w:rsid w:val="00EB0B19"/>
    <w:rsid w:val="00EB0BEB"/>
    <w:rsid w:val="00EB1099"/>
    <w:rsid w:val="00EB18A1"/>
    <w:rsid w:val="00EB2575"/>
    <w:rsid w:val="00EB2AD0"/>
    <w:rsid w:val="00EB308B"/>
    <w:rsid w:val="00EB4401"/>
    <w:rsid w:val="00EB4E4E"/>
    <w:rsid w:val="00EB594B"/>
    <w:rsid w:val="00EB5BC3"/>
    <w:rsid w:val="00EB6682"/>
    <w:rsid w:val="00EC05CD"/>
    <w:rsid w:val="00EC0709"/>
    <w:rsid w:val="00EC20C0"/>
    <w:rsid w:val="00EC28ED"/>
    <w:rsid w:val="00EC3496"/>
    <w:rsid w:val="00EC388E"/>
    <w:rsid w:val="00EC4217"/>
    <w:rsid w:val="00EC4673"/>
    <w:rsid w:val="00EC4AB5"/>
    <w:rsid w:val="00EC4DED"/>
    <w:rsid w:val="00EC4F90"/>
    <w:rsid w:val="00EC583C"/>
    <w:rsid w:val="00EC6EE5"/>
    <w:rsid w:val="00EC6F67"/>
    <w:rsid w:val="00EC729B"/>
    <w:rsid w:val="00EC7C5C"/>
    <w:rsid w:val="00EC7E6C"/>
    <w:rsid w:val="00EC7F9A"/>
    <w:rsid w:val="00ED0D3A"/>
    <w:rsid w:val="00ED2BD8"/>
    <w:rsid w:val="00ED2E84"/>
    <w:rsid w:val="00ED2FC2"/>
    <w:rsid w:val="00ED4166"/>
    <w:rsid w:val="00ED4509"/>
    <w:rsid w:val="00ED468F"/>
    <w:rsid w:val="00ED7898"/>
    <w:rsid w:val="00EE0133"/>
    <w:rsid w:val="00EE075C"/>
    <w:rsid w:val="00EE0D81"/>
    <w:rsid w:val="00EE105F"/>
    <w:rsid w:val="00EE14A9"/>
    <w:rsid w:val="00EE1FCA"/>
    <w:rsid w:val="00EE259E"/>
    <w:rsid w:val="00EE2754"/>
    <w:rsid w:val="00EE35AC"/>
    <w:rsid w:val="00EE35F6"/>
    <w:rsid w:val="00EE48B5"/>
    <w:rsid w:val="00EE503C"/>
    <w:rsid w:val="00EE51FB"/>
    <w:rsid w:val="00EE556C"/>
    <w:rsid w:val="00EE578E"/>
    <w:rsid w:val="00EE5A90"/>
    <w:rsid w:val="00EE634C"/>
    <w:rsid w:val="00EE66A6"/>
    <w:rsid w:val="00EE6992"/>
    <w:rsid w:val="00EE7614"/>
    <w:rsid w:val="00EE7B65"/>
    <w:rsid w:val="00EF039F"/>
    <w:rsid w:val="00EF046E"/>
    <w:rsid w:val="00EF10CC"/>
    <w:rsid w:val="00EF1195"/>
    <w:rsid w:val="00EF179B"/>
    <w:rsid w:val="00EF1E10"/>
    <w:rsid w:val="00EF23E2"/>
    <w:rsid w:val="00EF29D2"/>
    <w:rsid w:val="00EF2EF2"/>
    <w:rsid w:val="00EF3217"/>
    <w:rsid w:val="00EF3246"/>
    <w:rsid w:val="00EF38CC"/>
    <w:rsid w:val="00EF3B6E"/>
    <w:rsid w:val="00EF4912"/>
    <w:rsid w:val="00EF4FF8"/>
    <w:rsid w:val="00EF5389"/>
    <w:rsid w:val="00EF5A25"/>
    <w:rsid w:val="00EF612B"/>
    <w:rsid w:val="00EF7340"/>
    <w:rsid w:val="00EF7F65"/>
    <w:rsid w:val="00F00935"/>
    <w:rsid w:val="00F00E89"/>
    <w:rsid w:val="00F01021"/>
    <w:rsid w:val="00F0109B"/>
    <w:rsid w:val="00F01248"/>
    <w:rsid w:val="00F0132C"/>
    <w:rsid w:val="00F01A52"/>
    <w:rsid w:val="00F0275B"/>
    <w:rsid w:val="00F03212"/>
    <w:rsid w:val="00F035F0"/>
    <w:rsid w:val="00F04029"/>
    <w:rsid w:val="00F043AE"/>
    <w:rsid w:val="00F051B8"/>
    <w:rsid w:val="00F0623A"/>
    <w:rsid w:val="00F069C5"/>
    <w:rsid w:val="00F11376"/>
    <w:rsid w:val="00F11820"/>
    <w:rsid w:val="00F11D3E"/>
    <w:rsid w:val="00F1223B"/>
    <w:rsid w:val="00F12961"/>
    <w:rsid w:val="00F14A71"/>
    <w:rsid w:val="00F14C0B"/>
    <w:rsid w:val="00F14CFD"/>
    <w:rsid w:val="00F14D9B"/>
    <w:rsid w:val="00F155A2"/>
    <w:rsid w:val="00F1594F"/>
    <w:rsid w:val="00F15A22"/>
    <w:rsid w:val="00F15C5D"/>
    <w:rsid w:val="00F16447"/>
    <w:rsid w:val="00F166B2"/>
    <w:rsid w:val="00F16A67"/>
    <w:rsid w:val="00F16F4B"/>
    <w:rsid w:val="00F205A8"/>
    <w:rsid w:val="00F208B4"/>
    <w:rsid w:val="00F20D9A"/>
    <w:rsid w:val="00F210AD"/>
    <w:rsid w:val="00F2193B"/>
    <w:rsid w:val="00F21A4F"/>
    <w:rsid w:val="00F220AB"/>
    <w:rsid w:val="00F22538"/>
    <w:rsid w:val="00F227C4"/>
    <w:rsid w:val="00F22A8C"/>
    <w:rsid w:val="00F23081"/>
    <w:rsid w:val="00F24C18"/>
    <w:rsid w:val="00F24C22"/>
    <w:rsid w:val="00F255DE"/>
    <w:rsid w:val="00F26F93"/>
    <w:rsid w:val="00F277D3"/>
    <w:rsid w:val="00F27A68"/>
    <w:rsid w:val="00F27B38"/>
    <w:rsid w:val="00F31067"/>
    <w:rsid w:val="00F31591"/>
    <w:rsid w:val="00F3179A"/>
    <w:rsid w:val="00F32E02"/>
    <w:rsid w:val="00F32F75"/>
    <w:rsid w:val="00F33965"/>
    <w:rsid w:val="00F33A75"/>
    <w:rsid w:val="00F343F2"/>
    <w:rsid w:val="00F3470C"/>
    <w:rsid w:val="00F34B7B"/>
    <w:rsid w:val="00F34C8B"/>
    <w:rsid w:val="00F35601"/>
    <w:rsid w:val="00F36050"/>
    <w:rsid w:val="00F36D7A"/>
    <w:rsid w:val="00F36F1A"/>
    <w:rsid w:val="00F37F4B"/>
    <w:rsid w:val="00F4057C"/>
    <w:rsid w:val="00F408CF"/>
    <w:rsid w:val="00F409A7"/>
    <w:rsid w:val="00F40BF6"/>
    <w:rsid w:val="00F414E5"/>
    <w:rsid w:val="00F41F2C"/>
    <w:rsid w:val="00F42493"/>
    <w:rsid w:val="00F42BF6"/>
    <w:rsid w:val="00F42CCA"/>
    <w:rsid w:val="00F42FB8"/>
    <w:rsid w:val="00F43582"/>
    <w:rsid w:val="00F43948"/>
    <w:rsid w:val="00F43B70"/>
    <w:rsid w:val="00F43C73"/>
    <w:rsid w:val="00F43C96"/>
    <w:rsid w:val="00F43EC4"/>
    <w:rsid w:val="00F43EEA"/>
    <w:rsid w:val="00F447A8"/>
    <w:rsid w:val="00F44870"/>
    <w:rsid w:val="00F44A7F"/>
    <w:rsid w:val="00F46559"/>
    <w:rsid w:val="00F473AB"/>
    <w:rsid w:val="00F47972"/>
    <w:rsid w:val="00F506F0"/>
    <w:rsid w:val="00F509B5"/>
    <w:rsid w:val="00F5150E"/>
    <w:rsid w:val="00F51FBF"/>
    <w:rsid w:val="00F52710"/>
    <w:rsid w:val="00F52C1C"/>
    <w:rsid w:val="00F5355B"/>
    <w:rsid w:val="00F5358E"/>
    <w:rsid w:val="00F539ED"/>
    <w:rsid w:val="00F54367"/>
    <w:rsid w:val="00F5525C"/>
    <w:rsid w:val="00F557DF"/>
    <w:rsid w:val="00F55994"/>
    <w:rsid w:val="00F55CBB"/>
    <w:rsid w:val="00F561B7"/>
    <w:rsid w:val="00F564C0"/>
    <w:rsid w:val="00F56559"/>
    <w:rsid w:val="00F56662"/>
    <w:rsid w:val="00F56C38"/>
    <w:rsid w:val="00F56D86"/>
    <w:rsid w:val="00F57704"/>
    <w:rsid w:val="00F62319"/>
    <w:rsid w:val="00F62A99"/>
    <w:rsid w:val="00F63011"/>
    <w:rsid w:val="00F63635"/>
    <w:rsid w:val="00F63F6F"/>
    <w:rsid w:val="00F641E0"/>
    <w:rsid w:val="00F64AAE"/>
    <w:rsid w:val="00F65176"/>
    <w:rsid w:val="00F66458"/>
    <w:rsid w:val="00F6663F"/>
    <w:rsid w:val="00F6750B"/>
    <w:rsid w:val="00F677D9"/>
    <w:rsid w:val="00F71418"/>
    <w:rsid w:val="00F71A96"/>
    <w:rsid w:val="00F736D6"/>
    <w:rsid w:val="00F73FA9"/>
    <w:rsid w:val="00F74425"/>
    <w:rsid w:val="00F74F0C"/>
    <w:rsid w:val="00F7533C"/>
    <w:rsid w:val="00F75A53"/>
    <w:rsid w:val="00F77341"/>
    <w:rsid w:val="00F77C33"/>
    <w:rsid w:val="00F8042B"/>
    <w:rsid w:val="00F80AC2"/>
    <w:rsid w:val="00F80DE6"/>
    <w:rsid w:val="00F80F3E"/>
    <w:rsid w:val="00F8111C"/>
    <w:rsid w:val="00F819E6"/>
    <w:rsid w:val="00F81C6B"/>
    <w:rsid w:val="00F81EAD"/>
    <w:rsid w:val="00F81F66"/>
    <w:rsid w:val="00F82472"/>
    <w:rsid w:val="00F826F9"/>
    <w:rsid w:val="00F828A9"/>
    <w:rsid w:val="00F829B2"/>
    <w:rsid w:val="00F82BBC"/>
    <w:rsid w:val="00F83626"/>
    <w:rsid w:val="00F8415D"/>
    <w:rsid w:val="00F845B5"/>
    <w:rsid w:val="00F8471E"/>
    <w:rsid w:val="00F84F6A"/>
    <w:rsid w:val="00F852F9"/>
    <w:rsid w:val="00F86712"/>
    <w:rsid w:val="00F86A28"/>
    <w:rsid w:val="00F87211"/>
    <w:rsid w:val="00F8759B"/>
    <w:rsid w:val="00F878D8"/>
    <w:rsid w:val="00F92088"/>
    <w:rsid w:val="00F920F8"/>
    <w:rsid w:val="00F9242C"/>
    <w:rsid w:val="00F926D3"/>
    <w:rsid w:val="00F9310C"/>
    <w:rsid w:val="00F9344C"/>
    <w:rsid w:val="00F93504"/>
    <w:rsid w:val="00F94099"/>
    <w:rsid w:val="00F94B99"/>
    <w:rsid w:val="00F94D0B"/>
    <w:rsid w:val="00F96CAA"/>
    <w:rsid w:val="00F97932"/>
    <w:rsid w:val="00FA1189"/>
    <w:rsid w:val="00FA1DBC"/>
    <w:rsid w:val="00FA1DDC"/>
    <w:rsid w:val="00FA2846"/>
    <w:rsid w:val="00FA2D9B"/>
    <w:rsid w:val="00FA33E2"/>
    <w:rsid w:val="00FA3446"/>
    <w:rsid w:val="00FA39CD"/>
    <w:rsid w:val="00FA3C61"/>
    <w:rsid w:val="00FA434E"/>
    <w:rsid w:val="00FA4D51"/>
    <w:rsid w:val="00FA514E"/>
    <w:rsid w:val="00FA519F"/>
    <w:rsid w:val="00FA5E28"/>
    <w:rsid w:val="00FA682E"/>
    <w:rsid w:val="00FA6CE8"/>
    <w:rsid w:val="00FA7435"/>
    <w:rsid w:val="00FA761D"/>
    <w:rsid w:val="00FA7649"/>
    <w:rsid w:val="00FA7663"/>
    <w:rsid w:val="00FA7C27"/>
    <w:rsid w:val="00FA7C8F"/>
    <w:rsid w:val="00FB0DB5"/>
    <w:rsid w:val="00FB11DA"/>
    <w:rsid w:val="00FB28C9"/>
    <w:rsid w:val="00FB332E"/>
    <w:rsid w:val="00FB3810"/>
    <w:rsid w:val="00FB4A74"/>
    <w:rsid w:val="00FB5843"/>
    <w:rsid w:val="00FB6373"/>
    <w:rsid w:val="00FB763C"/>
    <w:rsid w:val="00FB7AF0"/>
    <w:rsid w:val="00FC009A"/>
    <w:rsid w:val="00FC0176"/>
    <w:rsid w:val="00FC0946"/>
    <w:rsid w:val="00FC0E4F"/>
    <w:rsid w:val="00FC0FCD"/>
    <w:rsid w:val="00FC140D"/>
    <w:rsid w:val="00FC17C9"/>
    <w:rsid w:val="00FC23A5"/>
    <w:rsid w:val="00FC2BD7"/>
    <w:rsid w:val="00FC2CF1"/>
    <w:rsid w:val="00FC32D3"/>
    <w:rsid w:val="00FC34C4"/>
    <w:rsid w:val="00FC369F"/>
    <w:rsid w:val="00FC3928"/>
    <w:rsid w:val="00FC460A"/>
    <w:rsid w:val="00FC464D"/>
    <w:rsid w:val="00FC4E36"/>
    <w:rsid w:val="00FC4F6E"/>
    <w:rsid w:val="00FC6562"/>
    <w:rsid w:val="00FC69A5"/>
    <w:rsid w:val="00FC700B"/>
    <w:rsid w:val="00FC72A9"/>
    <w:rsid w:val="00FC7988"/>
    <w:rsid w:val="00FC7A08"/>
    <w:rsid w:val="00FD09C8"/>
    <w:rsid w:val="00FD0AB3"/>
    <w:rsid w:val="00FD0D98"/>
    <w:rsid w:val="00FD0DD9"/>
    <w:rsid w:val="00FD14C7"/>
    <w:rsid w:val="00FD157E"/>
    <w:rsid w:val="00FD1E5B"/>
    <w:rsid w:val="00FD232F"/>
    <w:rsid w:val="00FD2387"/>
    <w:rsid w:val="00FD26D4"/>
    <w:rsid w:val="00FD275B"/>
    <w:rsid w:val="00FD2BC6"/>
    <w:rsid w:val="00FD2DA5"/>
    <w:rsid w:val="00FD3544"/>
    <w:rsid w:val="00FD551A"/>
    <w:rsid w:val="00FD5808"/>
    <w:rsid w:val="00FD707F"/>
    <w:rsid w:val="00FD7238"/>
    <w:rsid w:val="00FD79A9"/>
    <w:rsid w:val="00FE00D3"/>
    <w:rsid w:val="00FE0132"/>
    <w:rsid w:val="00FE060E"/>
    <w:rsid w:val="00FE0D72"/>
    <w:rsid w:val="00FE0E52"/>
    <w:rsid w:val="00FE187D"/>
    <w:rsid w:val="00FE2005"/>
    <w:rsid w:val="00FE30B7"/>
    <w:rsid w:val="00FE3291"/>
    <w:rsid w:val="00FE4136"/>
    <w:rsid w:val="00FE432C"/>
    <w:rsid w:val="00FE47A6"/>
    <w:rsid w:val="00FE499A"/>
    <w:rsid w:val="00FE4D89"/>
    <w:rsid w:val="00FE4F21"/>
    <w:rsid w:val="00FE4FC9"/>
    <w:rsid w:val="00FE5010"/>
    <w:rsid w:val="00FE577C"/>
    <w:rsid w:val="00FE5AD2"/>
    <w:rsid w:val="00FE769E"/>
    <w:rsid w:val="00FE7EE8"/>
    <w:rsid w:val="00FF06B0"/>
    <w:rsid w:val="00FF0828"/>
    <w:rsid w:val="00FF0CE0"/>
    <w:rsid w:val="00FF20CA"/>
    <w:rsid w:val="00FF3740"/>
    <w:rsid w:val="00FF4ACC"/>
    <w:rsid w:val="00FF4CA8"/>
    <w:rsid w:val="00FF554C"/>
    <w:rsid w:val="00FF5EB4"/>
    <w:rsid w:val="00FF6414"/>
    <w:rsid w:val="00FF7422"/>
    <w:rsid w:val="00FF7E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8C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42C"/>
    <w:pPr>
      <w:spacing w:after="0" w:line="240" w:lineRule="auto"/>
    </w:pPr>
    <w:rPr>
      <w:rFonts w:ascii="Times New Roman" w:hAnsi="Times New Roman"/>
    </w:rPr>
  </w:style>
  <w:style w:type="paragraph" w:styleId="Overskrift1">
    <w:name w:val="heading 1"/>
    <w:basedOn w:val="Normal"/>
    <w:next w:val="Normal"/>
    <w:link w:val="Overskrift1Tegn"/>
    <w:uiPriority w:val="9"/>
    <w:qFormat/>
    <w:rsid w:val="00A77E63"/>
    <w:pPr>
      <w:keepNext/>
      <w:keepLines/>
      <w:spacing w:before="480"/>
      <w:jc w:val="center"/>
      <w:outlineLvl w:val="0"/>
    </w:pPr>
    <w:rPr>
      <w:rFonts w:eastAsiaTheme="majorEastAsia" w:cstheme="majorBidi"/>
      <w:b/>
      <w:bCs/>
      <w:szCs w:val="28"/>
    </w:rPr>
  </w:style>
  <w:style w:type="paragraph" w:styleId="Overskrift2">
    <w:name w:val="heading 2"/>
    <w:basedOn w:val="Normal"/>
    <w:next w:val="Normal"/>
    <w:link w:val="Overskrift2Tegn"/>
    <w:uiPriority w:val="9"/>
    <w:unhideWhenUsed/>
    <w:qFormat/>
    <w:rsid w:val="004F44A7"/>
    <w:pPr>
      <w:keepNext/>
      <w:keepLines/>
      <w:jc w:val="center"/>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350F20"/>
    <w:pPr>
      <w:keepNext/>
      <w:keepLines/>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350F20"/>
    <w:pPr>
      <w:keepNext/>
      <w:keepLines/>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C0439D"/>
    <w:pPr>
      <w:keepNext/>
      <w:keepLines/>
      <w:outlineLvl w:val="4"/>
    </w:pPr>
    <w:rPr>
      <w:rFonts w:eastAsiaTheme="majorEastAsia" w:cstheme="majorBidi"/>
      <w:i/>
    </w:rPr>
  </w:style>
  <w:style w:type="paragraph" w:styleId="Overskrift6">
    <w:name w:val="heading 6"/>
    <w:basedOn w:val="Normal"/>
    <w:next w:val="Normal"/>
    <w:link w:val="Overskrift6Tegn"/>
    <w:uiPriority w:val="9"/>
    <w:unhideWhenUsed/>
    <w:qFormat/>
    <w:rsid w:val="001F6614"/>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9"/>
    <w:unhideWhenUsed/>
    <w:qFormat/>
    <w:rsid w:val="001F6614"/>
    <w:pPr>
      <w:keepNext/>
      <w:keepLines/>
      <w:outlineLvl w:val="6"/>
    </w:pPr>
    <w:rPr>
      <w:rFonts w:asciiTheme="majorHAnsi" w:eastAsiaTheme="majorEastAsia" w:hAnsiTheme="majorHAnsi"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C3495"/>
    <w:pPr>
      <w:ind w:left="720"/>
      <w:contextualSpacing/>
    </w:pPr>
  </w:style>
  <w:style w:type="character" w:styleId="Kommentarhenvisning">
    <w:name w:val="annotation reference"/>
    <w:basedOn w:val="Standardskrifttypeiafsnit"/>
    <w:uiPriority w:val="99"/>
    <w:semiHidden/>
    <w:unhideWhenUsed/>
    <w:rsid w:val="007614AF"/>
    <w:rPr>
      <w:sz w:val="16"/>
      <w:szCs w:val="16"/>
    </w:rPr>
  </w:style>
  <w:style w:type="paragraph" w:styleId="Kommentartekst">
    <w:name w:val="annotation text"/>
    <w:basedOn w:val="Normal"/>
    <w:link w:val="KommentartekstTegn"/>
    <w:uiPriority w:val="99"/>
    <w:unhideWhenUsed/>
    <w:rsid w:val="007614AF"/>
    <w:rPr>
      <w:sz w:val="20"/>
      <w:szCs w:val="20"/>
    </w:rPr>
  </w:style>
  <w:style w:type="character" w:customStyle="1" w:styleId="KommentartekstTegn">
    <w:name w:val="Kommentartekst Tegn"/>
    <w:basedOn w:val="Standardskrifttypeiafsnit"/>
    <w:link w:val="Kommentartekst"/>
    <w:uiPriority w:val="99"/>
    <w:rsid w:val="007614AF"/>
    <w:rPr>
      <w:sz w:val="20"/>
      <w:szCs w:val="20"/>
    </w:rPr>
  </w:style>
  <w:style w:type="paragraph" w:styleId="Kommentaremne">
    <w:name w:val="annotation subject"/>
    <w:basedOn w:val="Kommentartekst"/>
    <w:next w:val="Kommentartekst"/>
    <w:link w:val="KommentaremneTegn"/>
    <w:uiPriority w:val="99"/>
    <w:semiHidden/>
    <w:unhideWhenUsed/>
    <w:rsid w:val="007614AF"/>
    <w:rPr>
      <w:b/>
      <w:bCs/>
    </w:rPr>
  </w:style>
  <w:style w:type="character" w:customStyle="1" w:styleId="KommentaremneTegn">
    <w:name w:val="Kommentaremne Tegn"/>
    <w:basedOn w:val="KommentartekstTegn"/>
    <w:link w:val="Kommentaremne"/>
    <w:uiPriority w:val="99"/>
    <w:semiHidden/>
    <w:rsid w:val="007614AF"/>
    <w:rPr>
      <w:b/>
      <w:bCs/>
      <w:sz w:val="20"/>
      <w:szCs w:val="20"/>
    </w:rPr>
  </w:style>
  <w:style w:type="paragraph" w:styleId="Markeringsbobletekst">
    <w:name w:val="Balloon Text"/>
    <w:basedOn w:val="Normal"/>
    <w:link w:val="MarkeringsbobletekstTegn"/>
    <w:uiPriority w:val="99"/>
    <w:semiHidden/>
    <w:unhideWhenUsed/>
    <w:rsid w:val="007614A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614AF"/>
    <w:rPr>
      <w:rFonts w:ascii="Tahoma" w:hAnsi="Tahoma" w:cs="Tahoma"/>
      <w:sz w:val="16"/>
      <w:szCs w:val="16"/>
    </w:rPr>
  </w:style>
  <w:style w:type="paragraph" w:styleId="Sidehoved">
    <w:name w:val="header"/>
    <w:basedOn w:val="Normal"/>
    <w:link w:val="SidehovedTegn"/>
    <w:uiPriority w:val="99"/>
    <w:unhideWhenUsed/>
    <w:rsid w:val="000E1FD8"/>
    <w:pPr>
      <w:tabs>
        <w:tab w:val="center" w:pos="4819"/>
        <w:tab w:val="right" w:pos="9638"/>
      </w:tabs>
    </w:pPr>
  </w:style>
  <w:style w:type="character" w:customStyle="1" w:styleId="SidehovedTegn">
    <w:name w:val="Sidehoved Tegn"/>
    <w:basedOn w:val="Standardskrifttypeiafsnit"/>
    <w:link w:val="Sidehoved"/>
    <w:uiPriority w:val="99"/>
    <w:rsid w:val="000E1FD8"/>
  </w:style>
  <w:style w:type="paragraph" w:styleId="Sidefod">
    <w:name w:val="footer"/>
    <w:basedOn w:val="Normal"/>
    <w:link w:val="SidefodTegn"/>
    <w:uiPriority w:val="99"/>
    <w:unhideWhenUsed/>
    <w:rsid w:val="000E1FD8"/>
    <w:pPr>
      <w:tabs>
        <w:tab w:val="center" w:pos="4819"/>
        <w:tab w:val="right" w:pos="9638"/>
      </w:tabs>
    </w:pPr>
  </w:style>
  <w:style w:type="character" w:customStyle="1" w:styleId="SidefodTegn">
    <w:name w:val="Sidefod Tegn"/>
    <w:basedOn w:val="Standardskrifttypeiafsnit"/>
    <w:link w:val="Sidefod"/>
    <w:uiPriority w:val="99"/>
    <w:rsid w:val="000E1FD8"/>
  </w:style>
  <w:style w:type="paragraph" w:customStyle="1" w:styleId="tekst9">
    <w:name w:val="tekst9"/>
    <w:basedOn w:val="Normal"/>
    <w:rsid w:val="00CD488C"/>
    <w:pPr>
      <w:spacing w:before="60" w:after="60"/>
      <w:ind w:firstLine="170"/>
      <w:jc w:val="both"/>
    </w:pPr>
    <w:rPr>
      <w:rFonts w:ascii="Tahoma" w:eastAsia="Times New Roman" w:hAnsi="Tahoma" w:cs="Tahoma"/>
      <w:color w:val="000000"/>
      <w:sz w:val="24"/>
      <w:szCs w:val="24"/>
      <w:lang w:eastAsia="da-DK"/>
    </w:rPr>
  </w:style>
  <w:style w:type="paragraph" w:styleId="Almindeligtekst">
    <w:name w:val="Plain Text"/>
    <w:basedOn w:val="Normal"/>
    <w:link w:val="AlmindeligtekstTegn"/>
    <w:uiPriority w:val="99"/>
    <w:unhideWhenUsed/>
    <w:rsid w:val="008F1DE8"/>
    <w:rPr>
      <w:rFonts w:ascii="Consolas" w:hAnsi="Consolas" w:cs="Consolas"/>
      <w:sz w:val="21"/>
      <w:szCs w:val="21"/>
    </w:rPr>
  </w:style>
  <w:style w:type="character" w:customStyle="1" w:styleId="AlmindeligtekstTegn">
    <w:name w:val="Almindelig tekst Tegn"/>
    <w:basedOn w:val="Standardskrifttypeiafsnit"/>
    <w:link w:val="Almindeligtekst"/>
    <w:uiPriority w:val="99"/>
    <w:rsid w:val="008F1DE8"/>
    <w:rPr>
      <w:rFonts w:ascii="Consolas" w:hAnsi="Consolas" w:cs="Consolas"/>
      <w:sz w:val="21"/>
      <w:szCs w:val="21"/>
    </w:rPr>
  </w:style>
  <w:style w:type="character" w:customStyle="1" w:styleId="Overskrift2Tegn">
    <w:name w:val="Overskrift 2 Tegn"/>
    <w:basedOn w:val="Standardskrifttypeiafsnit"/>
    <w:link w:val="Overskrift2"/>
    <w:uiPriority w:val="9"/>
    <w:rsid w:val="004F44A7"/>
    <w:rPr>
      <w:rFonts w:ascii="Times New Roman" w:eastAsiaTheme="majorEastAsia" w:hAnsi="Times New Roman" w:cstheme="majorBidi"/>
      <w:b/>
      <w:bCs/>
      <w:szCs w:val="26"/>
    </w:rPr>
  </w:style>
  <w:style w:type="character" w:customStyle="1" w:styleId="Overskrift3Tegn">
    <w:name w:val="Overskrift 3 Tegn"/>
    <w:basedOn w:val="Standardskrifttypeiafsnit"/>
    <w:link w:val="Overskrift3"/>
    <w:uiPriority w:val="9"/>
    <w:rsid w:val="00350F20"/>
    <w:rPr>
      <w:rFonts w:ascii="Times New Roman" w:eastAsiaTheme="majorEastAsia" w:hAnsi="Times New Roman" w:cstheme="majorBidi"/>
      <w:b/>
      <w:bCs/>
    </w:rPr>
  </w:style>
  <w:style w:type="character" w:customStyle="1" w:styleId="Overskrift1Tegn">
    <w:name w:val="Overskrift 1 Tegn"/>
    <w:basedOn w:val="Standardskrifttypeiafsnit"/>
    <w:link w:val="Overskrift1"/>
    <w:uiPriority w:val="9"/>
    <w:rsid w:val="00A77E63"/>
    <w:rPr>
      <w:rFonts w:ascii="Times New Roman" w:eastAsiaTheme="majorEastAsia" w:hAnsi="Times New Roman" w:cstheme="majorBidi"/>
      <w:b/>
      <w:bCs/>
      <w:szCs w:val="28"/>
    </w:rPr>
  </w:style>
  <w:style w:type="character" w:customStyle="1" w:styleId="Overskrift4Tegn">
    <w:name w:val="Overskrift 4 Tegn"/>
    <w:basedOn w:val="Standardskrifttypeiafsnit"/>
    <w:link w:val="Overskrift4"/>
    <w:uiPriority w:val="9"/>
    <w:rsid w:val="00350F20"/>
    <w:rPr>
      <w:rFonts w:ascii="Times New Roman" w:eastAsiaTheme="majorEastAsia" w:hAnsi="Times New Roman" w:cstheme="majorBidi"/>
      <w:b/>
      <w:bCs/>
      <w:iCs/>
    </w:rPr>
  </w:style>
  <w:style w:type="character" w:customStyle="1" w:styleId="Overskrift5Tegn">
    <w:name w:val="Overskrift 5 Tegn"/>
    <w:basedOn w:val="Standardskrifttypeiafsnit"/>
    <w:link w:val="Overskrift5"/>
    <w:uiPriority w:val="9"/>
    <w:rsid w:val="00C0439D"/>
    <w:rPr>
      <w:rFonts w:ascii="Times New Roman" w:eastAsiaTheme="majorEastAsia" w:hAnsi="Times New Roman" w:cstheme="majorBidi"/>
      <w:i/>
    </w:rPr>
  </w:style>
  <w:style w:type="paragraph" w:styleId="Overskrift">
    <w:name w:val="TOC Heading"/>
    <w:basedOn w:val="Overskrift1"/>
    <w:next w:val="Normal"/>
    <w:uiPriority w:val="39"/>
    <w:semiHidden/>
    <w:unhideWhenUsed/>
    <w:qFormat/>
    <w:rsid w:val="00404913"/>
    <w:pPr>
      <w:jc w:val="left"/>
      <w:outlineLvl w:val="9"/>
    </w:pPr>
    <w:rPr>
      <w:rFonts w:asciiTheme="majorHAnsi" w:hAnsiTheme="majorHAnsi"/>
      <w:color w:val="365F91" w:themeColor="accent1" w:themeShade="BF"/>
      <w:sz w:val="28"/>
      <w:lang w:eastAsia="da-DK"/>
    </w:rPr>
  </w:style>
  <w:style w:type="paragraph" w:styleId="Indholdsfortegnelse1">
    <w:name w:val="toc 1"/>
    <w:basedOn w:val="Normal"/>
    <w:next w:val="Normal"/>
    <w:autoRedefine/>
    <w:uiPriority w:val="39"/>
    <w:unhideWhenUsed/>
    <w:rsid w:val="00404913"/>
    <w:pPr>
      <w:spacing w:after="100"/>
    </w:pPr>
  </w:style>
  <w:style w:type="paragraph" w:styleId="Indholdsfortegnelse2">
    <w:name w:val="toc 2"/>
    <w:basedOn w:val="Normal"/>
    <w:next w:val="Normal"/>
    <w:autoRedefine/>
    <w:uiPriority w:val="39"/>
    <w:unhideWhenUsed/>
    <w:rsid w:val="00404913"/>
    <w:pPr>
      <w:spacing w:after="100"/>
      <w:ind w:left="220"/>
    </w:pPr>
  </w:style>
  <w:style w:type="paragraph" w:styleId="Indholdsfortegnelse3">
    <w:name w:val="toc 3"/>
    <w:basedOn w:val="Normal"/>
    <w:next w:val="Normal"/>
    <w:autoRedefine/>
    <w:uiPriority w:val="39"/>
    <w:unhideWhenUsed/>
    <w:rsid w:val="00404913"/>
    <w:pPr>
      <w:spacing w:after="100"/>
      <w:ind w:left="440"/>
    </w:pPr>
  </w:style>
  <w:style w:type="character" w:styleId="Llink">
    <w:name w:val="Hyperlink"/>
    <w:basedOn w:val="Standardskrifttypeiafsnit"/>
    <w:uiPriority w:val="99"/>
    <w:unhideWhenUsed/>
    <w:rsid w:val="00404913"/>
    <w:rPr>
      <w:color w:val="0000FF" w:themeColor="hyperlink"/>
      <w:u w:val="single"/>
    </w:rPr>
  </w:style>
  <w:style w:type="paragraph" w:styleId="Korrektur">
    <w:name w:val="Revision"/>
    <w:hidden/>
    <w:uiPriority w:val="99"/>
    <w:semiHidden/>
    <w:rsid w:val="00471CBE"/>
    <w:pPr>
      <w:spacing w:after="0" w:line="240" w:lineRule="auto"/>
    </w:pPr>
  </w:style>
  <w:style w:type="paragraph" w:styleId="Fodnotetekst">
    <w:name w:val="footnote text"/>
    <w:basedOn w:val="Normal"/>
    <w:link w:val="FodnotetekstTegn"/>
    <w:uiPriority w:val="99"/>
    <w:semiHidden/>
    <w:unhideWhenUsed/>
    <w:rsid w:val="002E3A4C"/>
    <w:rPr>
      <w:sz w:val="20"/>
      <w:szCs w:val="20"/>
    </w:rPr>
  </w:style>
  <w:style w:type="character" w:customStyle="1" w:styleId="FodnotetekstTegn">
    <w:name w:val="Fodnotetekst Tegn"/>
    <w:basedOn w:val="Standardskrifttypeiafsnit"/>
    <w:link w:val="Fodnotetekst"/>
    <w:uiPriority w:val="99"/>
    <w:semiHidden/>
    <w:rsid w:val="002E3A4C"/>
    <w:rPr>
      <w:sz w:val="20"/>
      <w:szCs w:val="20"/>
    </w:rPr>
  </w:style>
  <w:style w:type="character" w:styleId="Fodnotehenvisning">
    <w:name w:val="footnote reference"/>
    <w:basedOn w:val="Standardskrifttypeiafsnit"/>
    <w:uiPriority w:val="99"/>
    <w:semiHidden/>
    <w:unhideWhenUsed/>
    <w:rsid w:val="002E3A4C"/>
    <w:rPr>
      <w:vertAlign w:val="superscript"/>
    </w:rPr>
  </w:style>
  <w:style w:type="paragraph" w:customStyle="1" w:styleId="paragraf">
    <w:name w:val="paragraf"/>
    <w:basedOn w:val="Normal"/>
    <w:rsid w:val="00760EDA"/>
    <w:pPr>
      <w:spacing w:before="200"/>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760EDA"/>
    <w:rPr>
      <w:rFonts w:ascii="Tahoma" w:hAnsi="Tahoma" w:cs="Tahoma" w:hint="default"/>
      <w:b/>
      <w:bCs/>
      <w:color w:val="000000"/>
      <w:sz w:val="24"/>
      <w:szCs w:val="24"/>
      <w:shd w:val="clear" w:color="auto" w:fill="auto"/>
    </w:rPr>
  </w:style>
  <w:style w:type="character" w:customStyle="1" w:styleId="Overskrift6Tegn">
    <w:name w:val="Overskrift 6 Tegn"/>
    <w:basedOn w:val="Standardskrifttypeiafsnit"/>
    <w:link w:val="Overskrift6"/>
    <w:uiPriority w:val="9"/>
    <w:rsid w:val="001F6614"/>
    <w:rPr>
      <w:rFonts w:ascii="Times New Roman" w:eastAsiaTheme="majorEastAsia" w:hAnsi="Times New Roman" w:cstheme="majorBidi"/>
      <w:i/>
      <w:iCs/>
    </w:rPr>
  </w:style>
  <w:style w:type="character" w:customStyle="1" w:styleId="Overskrift7Tegn">
    <w:name w:val="Overskrift 7 Tegn"/>
    <w:basedOn w:val="Standardskrifttypeiafsnit"/>
    <w:link w:val="Overskrift7"/>
    <w:uiPriority w:val="9"/>
    <w:rsid w:val="001F6614"/>
    <w:rPr>
      <w:rFonts w:asciiTheme="majorHAnsi" w:eastAsiaTheme="majorEastAsia" w:hAnsiTheme="majorHAnsi" w:cstheme="majorBidi"/>
      <w:i/>
      <w:iCs/>
    </w:rPr>
  </w:style>
  <w:style w:type="paragraph" w:customStyle="1" w:styleId="stk2">
    <w:name w:val="stk2"/>
    <w:basedOn w:val="Normal"/>
    <w:rsid w:val="00B466C1"/>
    <w:pPr>
      <w:ind w:firstLine="240"/>
    </w:pPr>
    <w:rPr>
      <w:rFonts w:ascii="Tahoma" w:eastAsia="Times New Roman" w:hAnsi="Tahoma" w:cs="Tahoma"/>
      <w:color w:val="000000"/>
      <w:sz w:val="24"/>
      <w:szCs w:val="24"/>
      <w:lang w:eastAsia="da-DK"/>
    </w:rPr>
  </w:style>
  <w:style w:type="character" w:customStyle="1" w:styleId="stknr1">
    <w:name w:val="stknr1"/>
    <w:basedOn w:val="Standardskrifttypeiafsnit"/>
    <w:rsid w:val="00B466C1"/>
    <w:rPr>
      <w:rFonts w:ascii="Tahoma" w:hAnsi="Tahoma" w:cs="Tahoma" w:hint="default"/>
      <w:i/>
      <w:iCs/>
      <w:color w:val="000000"/>
      <w:sz w:val="24"/>
      <w:szCs w:val="24"/>
      <w:shd w:val="clear" w:color="auto" w:fill="auto"/>
    </w:rPr>
  </w:style>
  <w:style w:type="character" w:customStyle="1" w:styleId="st1">
    <w:name w:val="st1"/>
    <w:basedOn w:val="Standardskrifttypeiafsnit"/>
    <w:rsid w:val="00905047"/>
  </w:style>
  <w:style w:type="character" w:customStyle="1" w:styleId="kortnavn2">
    <w:name w:val="kortnavn2"/>
    <w:basedOn w:val="Standardskrifttypeiafsnit"/>
    <w:rsid w:val="008B4709"/>
    <w:rPr>
      <w:rFonts w:ascii="Tahoma" w:hAnsi="Tahoma" w:cs="Tahoma" w:hint="default"/>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1125">
      <w:bodyDiv w:val="1"/>
      <w:marLeft w:val="0"/>
      <w:marRight w:val="0"/>
      <w:marTop w:val="0"/>
      <w:marBottom w:val="0"/>
      <w:divBdr>
        <w:top w:val="none" w:sz="0" w:space="0" w:color="auto"/>
        <w:left w:val="none" w:sz="0" w:space="0" w:color="auto"/>
        <w:bottom w:val="none" w:sz="0" w:space="0" w:color="auto"/>
        <w:right w:val="none" w:sz="0" w:space="0" w:color="auto"/>
      </w:divBdr>
    </w:div>
    <w:div w:id="62413593">
      <w:bodyDiv w:val="1"/>
      <w:marLeft w:val="0"/>
      <w:marRight w:val="0"/>
      <w:marTop w:val="0"/>
      <w:marBottom w:val="0"/>
      <w:divBdr>
        <w:top w:val="none" w:sz="0" w:space="0" w:color="auto"/>
        <w:left w:val="none" w:sz="0" w:space="0" w:color="auto"/>
        <w:bottom w:val="none" w:sz="0" w:space="0" w:color="auto"/>
        <w:right w:val="none" w:sz="0" w:space="0" w:color="auto"/>
      </w:divBdr>
    </w:div>
    <w:div w:id="190992463">
      <w:bodyDiv w:val="1"/>
      <w:marLeft w:val="0"/>
      <w:marRight w:val="0"/>
      <w:marTop w:val="0"/>
      <w:marBottom w:val="0"/>
      <w:divBdr>
        <w:top w:val="none" w:sz="0" w:space="0" w:color="auto"/>
        <w:left w:val="none" w:sz="0" w:space="0" w:color="auto"/>
        <w:bottom w:val="none" w:sz="0" w:space="0" w:color="auto"/>
        <w:right w:val="none" w:sz="0" w:space="0" w:color="auto"/>
      </w:divBdr>
    </w:div>
    <w:div w:id="339233351">
      <w:bodyDiv w:val="1"/>
      <w:marLeft w:val="0"/>
      <w:marRight w:val="0"/>
      <w:marTop w:val="0"/>
      <w:marBottom w:val="0"/>
      <w:divBdr>
        <w:top w:val="none" w:sz="0" w:space="0" w:color="auto"/>
        <w:left w:val="none" w:sz="0" w:space="0" w:color="auto"/>
        <w:bottom w:val="none" w:sz="0" w:space="0" w:color="auto"/>
        <w:right w:val="none" w:sz="0" w:space="0" w:color="auto"/>
      </w:divBdr>
      <w:divsChild>
        <w:div w:id="979382035">
          <w:marLeft w:val="0"/>
          <w:marRight w:val="0"/>
          <w:marTop w:val="0"/>
          <w:marBottom w:val="300"/>
          <w:divBdr>
            <w:top w:val="none" w:sz="0" w:space="0" w:color="auto"/>
            <w:left w:val="none" w:sz="0" w:space="0" w:color="auto"/>
            <w:bottom w:val="none" w:sz="0" w:space="0" w:color="auto"/>
            <w:right w:val="none" w:sz="0" w:space="0" w:color="auto"/>
          </w:divBdr>
          <w:divsChild>
            <w:div w:id="991451687">
              <w:marLeft w:val="0"/>
              <w:marRight w:val="0"/>
              <w:marTop w:val="0"/>
              <w:marBottom w:val="0"/>
              <w:divBdr>
                <w:top w:val="none" w:sz="0" w:space="0" w:color="auto"/>
                <w:left w:val="single" w:sz="6" w:space="1" w:color="FFFFFF"/>
                <w:bottom w:val="none" w:sz="0" w:space="0" w:color="auto"/>
                <w:right w:val="single" w:sz="6" w:space="1" w:color="FFFFFF"/>
              </w:divBdr>
              <w:divsChild>
                <w:div w:id="19474062">
                  <w:marLeft w:val="0"/>
                  <w:marRight w:val="0"/>
                  <w:marTop w:val="0"/>
                  <w:marBottom w:val="0"/>
                  <w:divBdr>
                    <w:top w:val="none" w:sz="0" w:space="0" w:color="auto"/>
                    <w:left w:val="none" w:sz="0" w:space="0" w:color="auto"/>
                    <w:bottom w:val="none" w:sz="0" w:space="0" w:color="auto"/>
                    <w:right w:val="none" w:sz="0" w:space="0" w:color="auto"/>
                  </w:divBdr>
                  <w:divsChild>
                    <w:div w:id="567962671">
                      <w:marLeft w:val="0"/>
                      <w:marRight w:val="0"/>
                      <w:marTop w:val="0"/>
                      <w:marBottom w:val="0"/>
                      <w:divBdr>
                        <w:top w:val="none" w:sz="0" w:space="0" w:color="auto"/>
                        <w:left w:val="none" w:sz="0" w:space="0" w:color="auto"/>
                        <w:bottom w:val="none" w:sz="0" w:space="0" w:color="auto"/>
                        <w:right w:val="none" w:sz="0" w:space="0" w:color="auto"/>
                      </w:divBdr>
                      <w:divsChild>
                        <w:div w:id="2031682307">
                          <w:marLeft w:val="0"/>
                          <w:marRight w:val="0"/>
                          <w:marTop w:val="0"/>
                          <w:marBottom w:val="0"/>
                          <w:divBdr>
                            <w:top w:val="none" w:sz="0" w:space="0" w:color="auto"/>
                            <w:left w:val="none" w:sz="0" w:space="0" w:color="auto"/>
                            <w:bottom w:val="none" w:sz="0" w:space="0" w:color="auto"/>
                            <w:right w:val="none" w:sz="0" w:space="0" w:color="auto"/>
                          </w:divBdr>
                          <w:divsChild>
                            <w:div w:id="1278636230">
                              <w:marLeft w:val="0"/>
                              <w:marRight w:val="0"/>
                              <w:marTop w:val="0"/>
                              <w:marBottom w:val="0"/>
                              <w:divBdr>
                                <w:top w:val="none" w:sz="0" w:space="0" w:color="auto"/>
                                <w:left w:val="none" w:sz="0" w:space="0" w:color="auto"/>
                                <w:bottom w:val="none" w:sz="0" w:space="0" w:color="auto"/>
                                <w:right w:val="none" w:sz="0" w:space="0" w:color="auto"/>
                              </w:divBdr>
                              <w:divsChild>
                                <w:div w:id="604918915">
                                  <w:marLeft w:val="0"/>
                                  <w:marRight w:val="0"/>
                                  <w:marTop w:val="0"/>
                                  <w:marBottom w:val="0"/>
                                  <w:divBdr>
                                    <w:top w:val="none" w:sz="0" w:space="0" w:color="auto"/>
                                    <w:left w:val="none" w:sz="0" w:space="0" w:color="auto"/>
                                    <w:bottom w:val="none" w:sz="0" w:space="0" w:color="auto"/>
                                    <w:right w:val="none" w:sz="0" w:space="0" w:color="auto"/>
                                  </w:divBdr>
                                  <w:divsChild>
                                    <w:div w:id="8349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1440390">
      <w:bodyDiv w:val="1"/>
      <w:marLeft w:val="0"/>
      <w:marRight w:val="0"/>
      <w:marTop w:val="0"/>
      <w:marBottom w:val="0"/>
      <w:divBdr>
        <w:top w:val="none" w:sz="0" w:space="0" w:color="auto"/>
        <w:left w:val="none" w:sz="0" w:space="0" w:color="auto"/>
        <w:bottom w:val="none" w:sz="0" w:space="0" w:color="auto"/>
        <w:right w:val="none" w:sz="0" w:space="0" w:color="auto"/>
      </w:divBdr>
      <w:divsChild>
        <w:div w:id="1292130881">
          <w:marLeft w:val="0"/>
          <w:marRight w:val="0"/>
          <w:marTop w:val="0"/>
          <w:marBottom w:val="300"/>
          <w:divBdr>
            <w:top w:val="none" w:sz="0" w:space="0" w:color="auto"/>
            <w:left w:val="none" w:sz="0" w:space="0" w:color="auto"/>
            <w:bottom w:val="none" w:sz="0" w:space="0" w:color="auto"/>
            <w:right w:val="none" w:sz="0" w:space="0" w:color="auto"/>
          </w:divBdr>
          <w:divsChild>
            <w:div w:id="826752773">
              <w:marLeft w:val="0"/>
              <w:marRight w:val="0"/>
              <w:marTop w:val="0"/>
              <w:marBottom w:val="0"/>
              <w:divBdr>
                <w:top w:val="none" w:sz="0" w:space="0" w:color="auto"/>
                <w:left w:val="single" w:sz="6" w:space="1" w:color="FFFFFF"/>
                <w:bottom w:val="none" w:sz="0" w:space="0" w:color="auto"/>
                <w:right w:val="single" w:sz="6" w:space="1" w:color="FFFFFF"/>
              </w:divBdr>
              <w:divsChild>
                <w:div w:id="1570799289">
                  <w:marLeft w:val="0"/>
                  <w:marRight w:val="0"/>
                  <w:marTop w:val="0"/>
                  <w:marBottom w:val="0"/>
                  <w:divBdr>
                    <w:top w:val="none" w:sz="0" w:space="0" w:color="auto"/>
                    <w:left w:val="none" w:sz="0" w:space="0" w:color="auto"/>
                    <w:bottom w:val="none" w:sz="0" w:space="0" w:color="auto"/>
                    <w:right w:val="none" w:sz="0" w:space="0" w:color="auto"/>
                  </w:divBdr>
                  <w:divsChild>
                    <w:div w:id="1409379408">
                      <w:marLeft w:val="0"/>
                      <w:marRight w:val="0"/>
                      <w:marTop w:val="0"/>
                      <w:marBottom w:val="0"/>
                      <w:divBdr>
                        <w:top w:val="none" w:sz="0" w:space="0" w:color="auto"/>
                        <w:left w:val="none" w:sz="0" w:space="0" w:color="auto"/>
                        <w:bottom w:val="none" w:sz="0" w:space="0" w:color="auto"/>
                        <w:right w:val="none" w:sz="0" w:space="0" w:color="auto"/>
                      </w:divBdr>
                      <w:divsChild>
                        <w:div w:id="2064016270">
                          <w:marLeft w:val="0"/>
                          <w:marRight w:val="0"/>
                          <w:marTop w:val="0"/>
                          <w:marBottom w:val="0"/>
                          <w:divBdr>
                            <w:top w:val="none" w:sz="0" w:space="0" w:color="auto"/>
                            <w:left w:val="none" w:sz="0" w:space="0" w:color="auto"/>
                            <w:bottom w:val="none" w:sz="0" w:space="0" w:color="auto"/>
                            <w:right w:val="none" w:sz="0" w:space="0" w:color="auto"/>
                          </w:divBdr>
                          <w:divsChild>
                            <w:div w:id="1023901094">
                              <w:marLeft w:val="0"/>
                              <w:marRight w:val="0"/>
                              <w:marTop w:val="0"/>
                              <w:marBottom w:val="0"/>
                              <w:divBdr>
                                <w:top w:val="none" w:sz="0" w:space="0" w:color="auto"/>
                                <w:left w:val="none" w:sz="0" w:space="0" w:color="auto"/>
                                <w:bottom w:val="none" w:sz="0" w:space="0" w:color="auto"/>
                                <w:right w:val="none" w:sz="0" w:space="0" w:color="auto"/>
                              </w:divBdr>
                              <w:divsChild>
                                <w:div w:id="1820073247">
                                  <w:marLeft w:val="0"/>
                                  <w:marRight w:val="0"/>
                                  <w:marTop w:val="0"/>
                                  <w:marBottom w:val="0"/>
                                  <w:divBdr>
                                    <w:top w:val="none" w:sz="0" w:space="0" w:color="auto"/>
                                    <w:left w:val="none" w:sz="0" w:space="0" w:color="auto"/>
                                    <w:bottom w:val="none" w:sz="0" w:space="0" w:color="auto"/>
                                    <w:right w:val="none" w:sz="0" w:space="0" w:color="auto"/>
                                  </w:divBdr>
                                  <w:divsChild>
                                    <w:div w:id="17362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062551">
      <w:bodyDiv w:val="1"/>
      <w:marLeft w:val="0"/>
      <w:marRight w:val="0"/>
      <w:marTop w:val="0"/>
      <w:marBottom w:val="0"/>
      <w:divBdr>
        <w:top w:val="none" w:sz="0" w:space="0" w:color="auto"/>
        <w:left w:val="none" w:sz="0" w:space="0" w:color="auto"/>
        <w:bottom w:val="none" w:sz="0" w:space="0" w:color="auto"/>
        <w:right w:val="none" w:sz="0" w:space="0" w:color="auto"/>
      </w:divBdr>
      <w:divsChild>
        <w:div w:id="900561409">
          <w:marLeft w:val="0"/>
          <w:marRight w:val="0"/>
          <w:marTop w:val="0"/>
          <w:marBottom w:val="300"/>
          <w:divBdr>
            <w:top w:val="none" w:sz="0" w:space="0" w:color="auto"/>
            <w:left w:val="none" w:sz="0" w:space="0" w:color="auto"/>
            <w:bottom w:val="none" w:sz="0" w:space="0" w:color="auto"/>
            <w:right w:val="none" w:sz="0" w:space="0" w:color="auto"/>
          </w:divBdr>
          <w:divsChild>
            <w:div w:id="960266224">
              <w:marLeft w:val="0"/>
              <w:marRight w:val="0"/>
              <w:marTop w:val="0"/>
              <w:marBottom w:val="0"/>
              <w:divBdr>
                <w:top w:val="none" w:sz="0" w:space="0" w:color="auto"/>
                <w:left w:val="single" w:sz="6" w:space="1" w:color="FFFFFF"/>
                <w:bottom w:val="none" w:sz="0" w:space="0" w:color="auto"/>
                <w:right w:val="single" w:sz="6" w:space="1" w:color="FFFFFF"/>
              </w:divBdr>
              <w:divsChild>
                <w:div w:id="897862890">
                  <w:marLeft w:val="0"/>
                  <w:marRight w:val="0"/>
                  <w:marTop w:val="0"/>
                  <w:marBottom w:val="0"/>
                  <w:divBdr>
                    <w:top w:val="none" w:sz="0" w:space="0" w:color="auto"/>
                    <w:left w:val="none" w:sz="0" w:space="0" w:color="auto"/>
                    <w:bottom w:val="none" w:sz="0" w:space="0" w:color="auto"/>
                    <w:right w:val="none" w:sz="0" w:space="0" w:color="auto"/>
                  </w:divBdr>
                  <w:divsChild>
                    <w:div w:id="386730853">
                      <w:marLeft w:val="0"/>
                      <w:marRight w:val="0"/>
                      <w:marTop w:val="0"/>
                      <w:marBottom w:val="0"/>
                      <w:divBdr>
                        <w:top w:val="none" w:sz="0" w:space="0" w:color="auto"/>
                        <w:left w:val="none" w:sz="0" w:space="0" w:color="auto"/>
                        <w:bottom w:val="none" w:sz="0" w:space="0" w:color="auto"/>
                        <w:right w:val="none" w:sz="0" w:space="0" w:color="auto"/>
                      </w:divBdr>
                      <w:divsChild>
                        <w:div w:id="1883788031">
                          <w:marLeft w:val="0"/>
                          <w:marRight w:val="0"/>
                          <w:marTop w:val="0"/>
                          <w:marBottom w:val="0"/>
                          <w:divBdr>
                            <w:top w:val="none" w:sz="0" w:space="0" w:color="auto"/>
                            <w:left w:val="none" w:sz="0" w:space="0" w:color="auto"/>
                            <w:bottom w:val="none" w:sz="0" w:space="0" w:color="auto"/>
                            <w:right w:val="none" w:sz="0" w:space="0" w:color="auto"/>
                          </w:divBdr>
                          <w:divsChild>
                            <w:div w:id="1859932205">
                              <w:marLeft w:val="0"/>
                              <w:marRight w:val="0"/>
                              <w:marTop w:val="0"/>
                              <w:marBottom w:val="0"/>
                              <w:divBdr>
                                <w:top w:val="none" w:sz="0" w:space="0" w:color="auto"/>
                                <w:left w:val="none" w:sz="0" w:space="0" w:color="auto"/>
                                <w:bottom w:val="none" w:sz="0" w:space="0" w:color="auto"/>
                                <w:right w:val="none" w:sz="0" w:space="0" w:color="auto"/>
                              </w:divBdr>
                              <w:divsChild>
                                <w:div w:id="524636599">
                                  <w:marLeft w:val="0"/>
                                  <w:marRight w:val="0"/>
                                  <w:marTop w:val="0"/>
                                  <w:marBottom w:val="0"/>
                                  <w:divBdr>
                                    <w:top w:val="none" w:sz="0" w:space="0" w:color="auto"/>
                                    <w:left w:val="none" w:sz="0" w:space="0" w:color="auto"/>
                                    <w:bottom w:val="none" w:sz="0" w:space="0" w:color="auto"/>
                                    <w:right w:val="none" w:sz="0" w:space="0" w:color="auto"/>
                                  </w:divBdr>
                                  <w:divsChild>
                                    <w:div w:id="17529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014740">
      <w:bodyDiv w:val="1"/>
      <w:marLeft w:val="0"/>
      <w:marRight w:val="0"/>
      <w:marTop w:val="0"/>
      <w:marBottom w:val="0"/>
      <w:divBdr>
        <w:top w:val="none" w:sz="0" w:space="0" w:color="auto"/>
        <w:left w:val="none" w:sz="0" w:space="0" w:color="auto"/>
        <w:bottom w:val="none" w:sz="0" w:space="0" w:color="auto"/>
        <w:right w:val="none" w:sz="0" w:space="0" w:color="auto"/>
      </w:divBdr>
    </w:div>
    <w:div w:id="643000925">
      <w:bodyDiv w:val="1"/>
      <w:marLeft w:val="0"/>
      <w:marRight w:val="0"/>
      <w:marTop w:val="0"/>
      <w:marBottom w:val="0"/>
      <w:divBdr>
        <w:top w:val="none" w:sz="0" w:space="0" w:color="auto"/>
        <w:left w:val="none" w:sz="0" w:space="0" w:color="auto"/>
        <w:bottom w:val="none" w:sz="0" w:space="0" w:color="auto"/>
        <w:right w:val="none" w:sz="0" w:space="0" w:color="auto"/>
      </w:divBdr>
      <w:divsChild>
        <w:div w:id="494565262">
          <w:marLeft w:val="0"/>
          <w:marRight w:val="0"/>
          <w:marTop w:val="0"/>
          <w:marBottom w:val="300"/>
          <w:divBdr>
            <w:top w:val="none" w:sz="0" w:space="0" w:color="auto"/>
            <w:left w:val="none" w:sz="0" w:space="0" w:color="auto"/>
            <w:bottom w:val="none" w:sz="0" w:space="0" w:color="auto"/>
            <w:right w:val="none" w:sz="0" w:space="0" w:color="auto"/>
          </w:divBdr>
          <w:divsChild>
            <w:div w:id="1329403980">
              <w:marLeft w:val="0"/>
              <w:marRight w:val="0"/>
              <w:marTop w:val="0"/>
              <w:marBottom w:val="0"/>
              <w:divBdr>
                <w:top w:val="none" w:sz="0" w:space="0" w:color="auto"/>
                <w:left w:val="single" w:sz="6" w:space="1" w:color="FFFFFF"/>
                <w:bottom w:val="none" w:sz="0" w:space="0" w:color="auto"/>
                <w:right w:val="single" w:sz="6" w:space="1" w:color="FFFFFF"/>
              </w:divBdr>
              <w:divsChild>
                <w:div w:id="253512858">
                  <w:marLeft w:val="0"/>
                  <w:marRight w:val="0"/>
                  <w:marTop w:val="0"/>
                  <w:marBottom w:val="0"/>
                  <w:divBdr>
                    <w:top w:val="none" w:sz="0" w:space="0" w:color="auto"/>
                    <w:left w:val="none" w:sz="0" w:space="0" w:color="auto"/>
                    <w:bottom w:val="none" w:sz="0" w:space="0" w:color="auto"/>
                    <w:right w:val="none" w:sz="0" w:space="0" w:color="auto"/>
                  </w:divBdr>
                  <w:divsChild>
                    <w:div w:id="1842968064">
                      <w:marLeft w:val="0"/>
                      <w:marRight w:val="0"/>
                      <w:marTop w:val="0"/>
                      <w:marBottom w:val="0"/>
                      <w:divBdr>
                        <w:top w:val="none" w:sz="0" w:space="0" w:color="auto"/>
                        <w:left w:val="none" w:sz="0" w:space="0" w:color="auto"/>
                        <w:bottom w:val="none" w:sz="0" w:space="0" w:color="auto"/>
                        <w:right w:val="none" w:sz="0" w:space="0" w:color="auto"/>
                      </w:divBdr>
                      <w:divsChild>
                        <w:div w:id="910040916">
                          <w:marLeft w:val="0"/>
                          <w:marRight w:val="0"/>
                          <w:marTop w:val="0"/>
                          <w:marBottom w:val="0"/>
                          <w:divBdr>
                            <w:top w:val="none" w:sz="0" w:space="0" w:color="auto"/>
                            <w:left w:val="none" w:sz="0" w:space="0" w:color="auto"/>
                            <w:bottom w:val="none" w:sz="0" w:space="0" w:color="auto"/>
                            <w:right w:val="none" w:sz="0" w:space="0" w:color="auto"/>
                          </w:divBdr>
                          <w:divsChild>
                            <w:div w:id="973410790">
                              <w:marLeft w:val="0"/>
                              <w:marRight w:val="0"/>
                              <w:marTop w:val="0"/>
                              <w:marBottom w:val="0"/>
                              <w:divBdr>
                                <w:top w:val="none" w:sz="0" w:space="0" w:color="auto"/>
                                <w:left w:val="none" w:sz="0" w:space="0" w:color="auto"/>
                                <w:bottom w:val="none" w:sz="0" w:space="0" w:color="auto"/>
                                <w:right w:val="none" w:sz="0" w:space="0" w:color="auto"/>
                              </w:divBdr>
                              <w:divsChild>
                                <w:div w:id="658849080">
                                  <w:marLeft w:val="0"/>
                                  <w:marRight w:val="0"/>
                                  <w:marTop w:val="0"/>
                                  <w:marBottom w:val="0"/>
                                  <w:divBdr>
                                    <w:top w:val="none" w:sz="0" w:space="0" w:color="auto"/>
                                    <w:left w:val="none" w:sz="0" w:space="0" w:color="auto"/>
                                    <w:bottom w:val="none" w:sz="0" w:space="0" w:color="auto"/>
                                    <w:right w:val="none" w:sz="0" w:space="0" w:color="auto"/>
                                  </w:divBdr>
                                  <w:divsChild>
                                    <w:div w:id="20760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960886">
      <w:bodyDiv w:val="1"/>
      <w:marLeft w:val="0"/>
      <w:marRight w:val="0"/>
      <w:marTop w:val="0"/>
      <w:marBottom w:val="0"/>
      <w:divBdr>
        <w:top w:val="none" w:sz="0" w:space="0" w:color="auto"/>
        <w:left w:val="none" w:sz="0" w:space="0" w:color="auto"/>
        <w:bottom w:val="none" w:sz="0" w:space="0" w:color="auto"/>
        <w:right w:val="none" w:sz="0" w:space="0" w:color="auto"/>
      </w:divBdr>
      <w:divsChild>
        <w:div w:id="450174272">
          <w:marLeft w:val="0"/>
          <w:marRight w:val="0"/>
          <w:marTop w:val="0"/>
          <w:marBottom w:val="300"/>
          <w:divBdr>
            <w:top w:val="none" w:sz="0" w:space="0" w:color="auto"/>
            <w:left w:val="none" w:sz="0" w:space="0" w:color="auto"/>
            <w:bottom w:val="none" w:sz="0" w:space="0" w:color="auto"/>
            <w:right w:val="none" w:sz="0" w:space="0" w:color="auto"/>
          </w:divBdr>
          <w:divsChild>
            <w:div w:id="1477913680">
              <w:marLeft w:val="0"/>
              <w:marRight w:val="0"/>
              <w:marTop w:val="0"/>
              <w:marBottom w:val="0"/>
              <w:divBdr>
                <w:top w:val="none" w:sz="0" w:space="0" w:color="auto"/>
                <w:left w:val="single" w:sz="6" w:space="1" w:color="FFFFFF"/>
                <w:bottom w:val="none" w:sz="0" w:space="0" w:color="auto"/>
                <w:right w:val="single" w:sz="6" w:space="1" w:color="FFFFFF"/>
              </w:divBdr>
              <w:divsChild>
                <w:div w:id="24454456">
                  <w:marLeft w:val="0"/>
                  <w:marRight w:val="0"/>
                  <w:marTop w:val="0"/>
                  <w:marBottom w:val="0"/>
                  <w:divBdr>
                    <w:top w:val="none" w:sz="0" w:space="0" w:color="auto"/>
                    <w:left w:val="none" w:sz="0" w:space="0" w:color="auto"/>
                    <w:bottom w:val="none" w:sz="0" w:space="0" w:color="auto"/>
                    <w:right w:val="none" w:sz="0" w:space="0" w:color="auto"/>
                  </w:divBdr>
                  <w:divsChild>
                    <w:div w:id="40250514">
                      <w:marLeft w:val="0"/>
                      <w:marRight w:val="0"/>
                      <w:marTop w:val="0"/>
                      <w:marBottom w:val="0"/>
                      <w:divBdr>
                        <w:top w:val="none" w:sz="0" w:space="0" w:color="auto"/>
                        <w:left w:val="none" w:sz="0" w:space="0" w:color="auto"/>
                        <w:bottom w:val="none" w:sz="0" w:space="0" w:color="auto"/>
                        <w:right w:val="none" w:sz="0" w:space="0" w:color="auto"/>
                      </w:divBdr>
                      <w:divsChild>
                        <w:div w:id="982196620">
                          <w:marLeft w:val="0"/>
                          <w:marRight w:val="0"/>
                          <w:marTop w:val="0"/>
                          <w:marBottom w:val="0"/>
                          <w:divBdr>
                            <w:top w:val="none" w:sz="0" w:space="0" w:color="auto"/>
                            <w:left w:val="none" w:sz="0" w:space="0" w:color="auto"/>
                            <w:bottom w:val="none" w:sz="0" w:space="0" w:color="auto"/>
                            <w:right w:val="none" w:sz="0" w:space="0" w:color="auto"/>
                          </w:divBdr>
                          <w:divsChild>
                            <w:div w:id="283393653">
                              <w:marLeft w:val="0"/>
                              <w:marRight w:val="0"/>
                              <w:marTop w:val="0"/>
                              <w:marBottom w:val="0"/>
                              <w:divBdr>
                                <w:top w:val="none" w:sz="0" w:space="0" w:color="auto"/>
                                <w:left w:val="none" w:sz="0" w:space="0" w:color="auto"/>
                                <w:bottom w:val="none" w:sz="0" w:space="0" w:color="auto"/>
                                <w:right w:val="none" w:sz="0" w:space="0" w:color="auto"/>
                              </w:divBdr>
                              <w:divsChild>
                                <w:div w:id="2128545182">
                                  <w:marLeft w:val="0"/>
                                  <w:marRight w:val="0"/>
                                  <w:marTop w:val="0"/>
                                  <w:marBottom w:val="0"/>
                                  <w:divBdr>
                                    <w:top w:val="none" w:sz="0" w:space="0" w:color="auto"/>
                                    <w:left w:val="none" w:sz="0" w:space="0" w:color="auto"/>
                                    <w:bottom w:val="none" w:sz="0" w:space="0" w:color="auto"/>
                                    <w:right w:val="none" w:sz="0" w:space="0" w:color="auto"/>
                                  </w:divBdr>
                                  <w:divsChild>
                                    <w:div w:id="18740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021156">
      <w:bodyDiv w:val="1"/>
      <w:marLeft w:val="0"/>
      <w:marRight w:val="0"/>
      <w:marTop w:val="0"/>
      <w:marBottom w:val="0"/>
      <w:divBdr>
        <w:top w:val="none" w:sz="0" w:space="0" w:color="auto"/>
        <w:left w:val="none" w:sz="0" w:space="0" w:color="auto"/>
        <w:bottom w:val="none" w:sz="0" w:space="0" w:color="auto"/>
        <w:right w:val="none" w:sz="0" w:space="0" w:color="auto"/>
      </w:divBdr>
      <w:divsChild>
        <w:div w:id="227418549">
          <w:marLeft w:val="0"/>
          <w:marRight w:val="0"/>
          <w:marTop w:val="0"/>
          <w:marBottom w:val="300"/>
          <w:divBdr>
            <w:top w:val="none" w:sz="0" w:space="0" w:color="auto"/>
            <w:left w:val="none" w:sz="0" w:space="0" w:color="auto"/>
            <w:bottom w:val="none" w:sz="0" w:space="0" w:color="auto"/>
            <w:right w:val="none" w:sz="0" w:space="0" w:color="auto"/>
          </w:divBdr>
          <w:divsChild>
            <w:div w:id="1823883826">
              <w:marLeft w:val="0"/>
              <w:marRight w:val="0"/>
              <w:marTop w:val="0"/>
              <w:marBottom w:val="0"/>
              <w:divBdr>
                <w:top w:val="none" w:sz="0" w:space="0" w:color="auto"/>
                <w:left w:val="single" w:sz="6" w:space="1" w:color="FFFFFF"/>
                <w:bottom w:val="none" w:sz="0" w:space="0" w:color="auto"/>
                <w:right w:val="single" w:sz="6" w:space="1" w:color="FFFFFF"/>
              </w:divBdr>
              <w:divsChild>
                <w:div w:id="813106910">
                  <w:marLeft w:val="0"/>
                  <w:marRight w:val="0"/>
                  <w:marTop w:val="0"/>
                  <w:marBottom w:val="0"/>
                  <w:divBdr>
                    <w:top w:val="none" w:sz="0" w:space="0" w:color="auto"/>
                    <w:left w:val="none" w:sz="0" w:space="0" w:color="auto"/>
                    <w:bottom w:val="none" w:sz="0" w:space="0" w:color="auto"/>
                    <w:right w:val="none" w:sz="0" w:space="0" w:color="auto"/>
                  </w:divBdr>
                  <w:divsChild>
                    <w:div w:id="1325620055">
                      <w:marLeft w:val="0"/>
                      <w:marRight w:val="0"/>
                      <w:marTop w:val="0"/>
                      <w:marBottom w:val="0"/>
                      <w:divBdr>
                        <w:top w:val="none" w:sz="0" w:space="0" w:color="auto"/>
                        <w:left w:val="none" w:sz="0" w:space="0" w:color="auto"/>
                        <w:bottom w:val="none" w:sz="0" w:space="0" w:color="auto"/>
                        <w:right w:val="none" w:sz="0" w:space="0" w:color="auto"/>
                      </w:divBdr>
                      <w:divsChild>
                        <w:div w:id="1456176125">
                          <w:marLeft w:val="0"/>
                          <w:marRight w:val="0"/>
                          <w:marTop w:val="0"/>
                          <w:marBottom w:val="0"/>
                          <w:divBdr>
                            <w:top w:val="none" w:sz="0" w:space="0" w:color="auto"/>
                            <w:left w:val="none" w:sz="0" w:space="0" w:color="auto"/>
                            <w:bottom w:val="none" w:sz="0" w:space="0" w:color="auto"/>
                            <w:right w:val="none" w:sz="0" w:space="0" w:color="auto"/>
                          </w:divBdr>
                          <w:divsChild>
                            <w:div w:id="1833905724">
                              <w:marLeft w:val="0"/>
                              <w:marRight w:val="0"/>
                              <w:marTop w:val="0"/>
                              <w:marBottom w:val="0"/>
                              <w:divBdr>
                                <w:top w:val="none" w:sz="0" w:space="0" w:color="auto"/>
                                <w:left w:val="none" w:sz="0" w:space="0" w:color="auto"/>
                                <w:bottom w:val="none" w:sz="0" w:space="0" w:color="auto"/>
                                <w:right w:val="none" w:sz="0" w:space="0" w:color="auto"/>
                              </w:divBdr>
                              <w:divsChild>
                                <w:div w:id="2013871211">
                                  <w:marLeft w:val="0"/>
                                  <w:marRight w:val="0"/>
                                  <w:marTop w:val="0"/>
                                  <w:marBottom w:val="0"/>
                                  <w:divBdr>
                                    <w:top w:val="none" w:sz="0" w:space="0" w:color="auto"/>
                                    <w:left w:val="none" w:sz="0" w:space="0" w:color="auto"/>
                                    <w:bottom w:val="none" w:sz="0" w:space="0" w:color="auto"/>
                                    <w:right w:val="none" w:sz="0" w:space="0" w:color="auto"/>
                                  </w:divBdr>
                                  <w:divsChild>
                                    <w:div w:id="16304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245647">
      <w:bodyDiv w:val="1"/>
      <w:marLeft w:val="0"/>
      <w:marRight w:val="0"/>
      <w:marTop w:val="0"/>
      <w:marBottom w:val="0"/>
      <w:divBdr>
        <w:top w:val="none" w:sz="0" w:space="0" w:color="auto"/>
        <w:left w:val="none" w:sz="0" w:space="0" w:color="auto"/>
        <w:bottom w:val="none" w:sz="0" w:space="0" w:color="auto"/>
        <w:right w:val="none" w:sz="0" w:space="0" w:color="auto"/>
      </w:divBdr>
    </w:div>
    <w:div w:id="877397623">
      <w:bodyDiv w:val="1"/>
      <w:marLeft w:val="0"/>
      <w:marRight w:val="0"/>
      <w:marTop w:val="0"/>
      <w:marBottom w:val="0"/>
      <w:divBdr>
        <w:top w:val="none" w:sz="0" w:space="0" w:color="auto"/>
        <w:left w:val="none" w:sz="0" w:space="0" w:color="auto"/>
        <w:bottom w:val="none" w:sz="0" w:space="0" w:color="auto"/>
        <w:right w:val="none" w:sz="0" w:space="0" w:color="auto"/>
      </w:divBdr>
    </w:div>
    <w:div w:id="916018013">
      <w:bodyDiv w:val="1"/>
      <w:marLeft w:val="0"/>
      <w:marRight w:val="0"/>
      <w:marTop w:val="0"/>
      <w:marBottom w:val="0"/>
      <w:divBdr>
        <w:top w:val="none" w:sz="0" w:space="0" w:color="auto"/>
        <w:left w:val="none" w:sz="0" w:space="0" w:color="auto"/>
        <w:bottom w:val="none" w:sz="0" w:space="0" w:color="auto"/>
        <w:right w:val="none" w:sz="0" w:space="0" w:color="auto"/>
      </w:divBdr>
      <w:divsChild>
        <w:div w:id="1172839437">
          <w:marLeft w:val="0"/>
          <w:marRight w:val="0"/>
          <w:marTop w:val="0"/>
          <w:marBottom w:val="300"/>
          <w:divBdr>
            <w:top w:val="none" w:sz="0" w:space="0" w:color="auto"/>
            <w:left w:val="none" w:sz="0" w:space="0" w:color="auto"/>
            <w:bottom w:val="none" w:sz="0" w:space="0" w:color="auto"/>
            <w:right w:val="none" w:sz="0" w:space="0" w:color="auto"/>
          </w:divBdr>
          <w:divsChild>
            <w:div w:id="748889262">
              <w:marLeft w:val="0"/>
              <w:marRight w:val="0"/>
              <w:marTop w:val="0"/>
              <w:marBottom w:val="0"/>
              <w:divBdr>
                <w:top w:val="none" w:sz="0" w:space="0" w:color="auto"/>
                <w:left w:val="single" w:sz="6" w:space="1" w:color="FFFFFF"/>
                <w:bottom w:val="none" w:sz="0" w:space="0" w:color="auto"/>
                <w:right w:val="single" w:sz="6" w:space="1" w:color="FFFFFF"/>
              </w:divBdr>
              <w:divsChild>
                <w:div w:id="1141967904">
                  <w:marLeft w:val="0"/>
                  <w:marRight w:val="0"/>
                  <w:marTop w:val="0"/>
                  <w:marBottom w:val="0"/>
                  <w:divBdr>
                    <w:top w:val="none" w:sz="0" w:space="0" w:color="auto"/>
                    <w:left w:val="none" w:sz="0" w:space="0" w:color="auto"/>
                    <w:bottom w:val="none" w:sz="0" w:space="0" w:color="auto"/>
                    <w:right w:val="none" w:sz="0" w:space="0" w:color="auto"/>
                  </w:divBdr>
                  <w:divsChild>
                    <w:div w:id="453450976">
                      <w:marLeft w:val="0"/>
                      <w:marRight w:val="0"/>
                      <w:marTop w:val="0"/>
                      <w:marBottom w:val="0"/>
                      <w:divBdr>
                        <w:top w:val="none" w:sz="0" w:space="0" w:color="auto"/>
                        <w:left w:val="none" w:sz="0" w:space="0" w:color="auto"/>
                        <w:bottom w:val="none" w:sz="0" w:space="0" w:color="auto"/>
                        <w:right w:val="none" w:sz="0" w:space="0" w:color="auto"/>
                      </w:divBdr>
                      <w:divsChild>
                        <w:div w:id="1622492389">
                          <w:marLeft w:val="0"/>
                          <w:marRight w:val="0"/>
                          <w:marTop w:val="0"/>
                          <w:marBottom w:val="0"/>
                          <w:divBdr>
                            <w:top w:val="none" w:sz="0" w:space="0" w:color="auto"/>
                            <w:left w:val="none" w:sz="0" w:space="0" w:color="auto"/>
                            <w:bottom w:val="none" w:sz="0" w:space="0" w:color="auto"/>
                            <w:right w:val="none" w:sz="0" w:space="0" w:color="auto"/>
                          </w:divBdr>
                          <w:divsChild>
                            <w:div w:id="314263076">
                              <w:marLeft w:val="0"/>
                              <w:marRight w:val="0"/>
                              <w:marTop w:val="0"/>
                              <w:marBottom w:val="0"/>
                              <w:divBdr>
                                <w:top w:val="none" w:sz="0" w:space="0" w:color="auto"/>
                                <w:left w:val="none" w:sz="0" w:space="0" w:color="auto"/>
                                <w:bottom w:val="none" w:sz="0" w:space="0" w:color="auto"/>
                                <w:right w:val="none" w:sz="0" w:space="0" w:color="auto"/>
                              </w:divBdr>
                              <w:divsChild>
                                <w:div w:id="1530533853">
                                  <w:marLeft w:val="0"/>
                                  <w:marRight w:val="0"/>
                                  <w:marTop w:val="0"/>
                                  <w:marBottom w:val="0"/>
                                  <w:divBdr>
                                    <w:top w:val="none" w:sz="0" w:space="0" w:color="auto"/>
                                    <w:left w:val="none" w:sz="0" w:space="0" w:color="auto"/>
                                    <w:bottom w:val="none" w:sz="0" w:space="0" w:color="auto"/>
                                    <w:right w:val="none" w:sz="0" w:space="0" w:color="auto"/>
                                  </w:divBdr>
                                  <w:divsChild>
                                    <w:div w:id="15221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077993">
      <w:bodyDiv w:val="1"/>
      <w:marLeft w:val="0"/>
      <w:marRight w:val="0"/>
      <w:marTop w:val="0"/>
      <w:marBottom w:val="0"/>
      <w:divBdr>
        <w:top w:val="none" w:sz="0" w:space="0" w:color="auto"/>
        <w:left w:val="none" w:sz="0" w:space="0" w:color="auto"/>
        <w:bottom w:val="none" w:sz="0" w:space="0" w:color="auto"/>
        <w:right w:val="none" w:sz="0" w:space="0" w:color="auto"/>
      </w:divBdr>
      <w:divsChild>
        <w:div w:id="1571227683">
          <w:marLeft w:val="0"/>
          <w:marRight w:val="0"/>
          <w:marTop w:val="0"/>
          <w:marBottom w:val="300"/>
          <w:divBdr>
            <w:top w:val="none" w:sz="0" w:space="0" w:color="auto"/>
            <w:left w:val="none" w:sz="0" w:space="0" w:color="auto"/>
            <w:bottom w:val="none" w:sz="0" w:space="0" w:color="auto"/>
            <w:right w:val="none" w:sz="0" w:space="0" w:color="auto"/>
          </w:divBdr>
          <w:divsChild>
            <w:div w:id="1664435911">
              <w:marLeft w:val="0"/>
              <w:marRight w:val="0"/>
              <w:marTop w:val="0"/>
              <w:marBottom w:val="0"/>
              <w:divBdr>
                <w:top w:val="none" w:sz="0" w:space="0" w:color="auto"/>
                <w:left w:val="single" w:sz="6" w:space="1" w:color="FFFFFF"/>
                <w:bottom w:val="none" w:sz="0" w:space="0" w:color="auto"/>
                <w:right w:val="single" w:sz="6" w:space="1" w:color="FFFFFF"/>
              </w:divBdr>
              <w:divsChild>
                <w:div w:id="1631593560">
                  <w:marLeft w:val="0"/>
                  <w:marRight w:val="0"/>
                  <w:marTop w:val="0"/>
                  <w:marBottom w:val="0"/>
                  <w:divBdr>
                    <w:top w:val="none" w:sz="0" w:space="0" w:color="auto"/>
                    <w:left w:val="none" w:sz="0" w:space="0" w:color="auto"/>
                    <w:bottom w:val="none" w:sz="0" w:space="0" w:color="auto"/>
                    <w:right w:val="none" w:sz="0" w:space="0" w:color="auto"/>
                  </w:divBdr>
                  <w:divsChild>
                    <w:div w:id="1407263459">
                      <w:marLeft w:val="0"/>
                      <w:marRight w:val="0"/>
                      <w:marTop w:val="0"/>
                      <w:marBottom w:val="0"/>
                      <w:divBdr>
                        <w:top w:val="none" w:sz="0" w:space="0" w:color="auto"/>
                        <w:left w:val="none" w:sz="0" w:space="0" w:color="auto"/>
                        <w:bottom w:val="none" w:sz="0" w:space="0" w:color="auto"/>
                        <w:right w:val="none" w:sz="0" w:space="0" w:color="auto"/>
                      </w:divBdr>
                      <w:divsChild>
                        <w:div w:id="1688947115">
                          <w:marLeft w:val="0"/>
                          <w:marRight w:val="0"/>
                          <w:marTop w:val="0"/>
                          <w:marBottom w:val="0"/>
                          <w:divBdr>
                            <w:top w:val="none" w:sz="0" w:space="0" w:color="auto"/>
                            <w:left w:val="none" w:sz="0" w:space="0" w:color="auto"/>
                            <w:bottom w:val="none" w:sz="0" w:space="0" w:color="auto"/>
                            <w:right w:val="none" w:sz="0" w:space="0" w:color="auto"/>
                          </w:divBdr>
                          <w:divsChild>
                            <w:div w:id="165753198">
                              <w:marLeft w:val="0"/>
                              <w:marRight w:val="0"/>
                              <w:marTop w:val="0"/>
                              <w:marBottom w:val="0"/>
                              <w:divBdr>
                                <w:top w:val="none" w:sz="0" w:space="0" w:color="auto"/>
                                <w:left w:val="none" w:sz="0" w:space="0" w:color="auto"/>
                                <w:bottom w:val="none" w:sz="0" w:space="0" w:color="auto"/>
                                <w:right w:val="none" w:sz="0" w:space="0" w:color="auto"/>
                              </w:divBdr>
                              <w:divsChild>
                                <w:div w:id="472601206">
                                  <w:marLeft w:val="0"/>
                                  <w:marRight w:val="0"/>
                                  <w:marTop w:val="0"/>
                                  <w:marBottom w:val="0"/>
                                  <w:divBdr>
                                    <w:top w:val="none" w:sz="0" w:space="0" w:color="auto"/>
                                    <w:left w:val="none" w:sz="0" w:space="0" w:color="auto"/>
                                    <w:bottom w:val="none" w:sz="0" w:space="0" w:color="auto"/>
                                    <w:right w:val="none" w:sz="0" w:space="0" w:color="auto"/>
                                  </w:divBdr>
                                  <w:divsChild>
                                    <w:div w:id="2495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650966">
      <w:bodyDiv w:val="1"/>
      <w:marLeft w:val="0"/>
      <w:marRight w:val="0"/>
      <w:marTop w:val="0"/>
      <w:marBottom w:val="0"/>
      <w:divBdr>
        <w:top w:val="none" w:sz="0" w:space="0" w:color="auto"/>
        <w:left w:val="none" w:sz="0" w:space="0" w:color="auto"/>
        <w:bottom w:val="none" w:sz="0" w:space="0" w:color="auto"/>
        <w:right w:val="none" w:sz="0" w:space="0" w:color="auto"/>
      </w:divBdr>
    </w:div>
    <w:div w:id="997659825">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300"/>
          <w:divBdr>
            <w:top w:val="none" w:sz="0" w:space="0" w:color="auto"/>
            <w:left w:val="none" w:sz="0" w:space="0" w:color="auto"/>
            <w:bottom w:val="none" w:sz="0" w:space="0" w:color="auto"/>
            <w:right w:val="none" w:sz="0" w:space="0" w:color="auto"/>
          </w:divBdr>
          <w:divsChild>
            <w:div w:id="1250849293">
              <w:marLeft w:val="0"/>
              <w:marRight w:val="0"/>
              <w:marTop w:val="0"/>
              <w:marBottom w:val="0"/>
              <w:divBdr>
                <w:top w:val="none" w:sz="0" w:space="0" w:color="auto"/>
                <w:left w:val="single" w:sz="6" w:space="1" w:color="FFFFFF"/>
                <w:bottom w:val="none" w:sz="0" w:space="0" w:color="auto"/>
                <w:right w:val="single" w:sz="6" w:space="1" w:color="FFFFFF"/>
              </w:divBdr>
              <w:divsChild>
                <w:div w:id="119107010">
                  <w:marLeft w:val="0"/>
                  <w:marRight w:val="0"/>
                  <w:marTop w:val="0"/>
                  <w:marBottom w:val="0"/>
                  <w:divBdr>
                    <w:top w:val="none" w:sz="0" w:space="0" w:color="auto"/>
                    <w:left w:val="none" w:sz="0" w:space="0" w:color="auto"/>
                    <w:bottom w:val="none" w:sz="0" w:space="0" w:color="auto"/>
                    <w:right w:val="none" w:sz="0" w:space="0" w:color="auto"/>
                  </w:divBdr>
                  <w:divsChild>
                    <w:div w:id="1007095786">
                      <w:marLeft w:val="0"/>
                      <w:marRight w:val="0"/>
                      <w:marTop w:val="0"/>
                      <w:marBottom w:val="0"/>
                      <w:divBdr>
                        <w:top w:val="none" w:sz="0" w:space="0" w:color="auto"/>
                        <w:left w:val="none" w:sz="0" w:space="0" w:color="auto"/>
                        <w:bottom w:val="none" w:sz="0" w:space="0" w:color="auto"/>
                        <w:right w:val="none" w:sz="0" w:space="0" w:color="auto"/>
                      </w:divBdr>
                      <w:divsChild>
                        <w:div w:id="1631395183">
                          <w:marLeft w:val="0"/>
                          <w:marRight w:val="0"/>
                          <w:marTop w:val="0"/>
                          <w:marBottom w:val="0"/>
                          <w:divBdr>
                            <w:top w:val="none" w:sz="0" w:space="0" w:color="auto"/>
                            <w:left w:val="none" w:sz="0" w:space="0" w:color="auto"/>
                            <w:bottom w:val="none" w:sz="0" w:space="0" w:color="auto"/>
                            <w:right w:val="none" w:sz="0" w:space="0" w:color="auto"/>
                          </w:divBdr>
                          <w:divsChild>
                            <w:div w:id="408238000">
                              <w:marLeft w:val="0"/>
                              <w:marRight w:val="0"/>
                              <w:marTop w:val="0"/>
                              <w:marBottom w:val="0"/>
                              <w:divBdr>
                                <w:top w:val="none" w:sz="0" w:space="0" w:color="auto"/>
                                <w:left w:val="none" w:sz="0" w:space="0" w:color="auto"/>
                                <w:bottom w:val="none" w:sz="0" w:space="0" w:color="auto"/>
                                <w:right w:val="none" w:sz="0" w:space="0" w:color="auto"/>
                              </w:divBdr>
                              <w:divsChild>
                                <w:div w:id="1178735237">
                                  <w:marLeft w:val="0"/>
                                  <w:marRight w:val="0"/>
                                  <w:marTop w:val="0"/>
                                  <w:marBottom w:val="0"/>
                                  <w:divBdr>
                                    <w:top w:val="none" w:sz="0" w:space="0" w:color="auto"/>
                                    <w:left w:val="none" w:sz="0" w:space="0" w:color="auto"/>
                                    <w:bottom w:val="none" w:sz="0" w:space="0" w:color="auto"/>
                                    <w:right w:val="none" w:sz="0" w:space="0" w:color="auto"/>
                                  </w:divBdr>
                                  <w:divsChild>
                                    <w:div w:id="1336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599688">
      <w:bodyDiv w:val="1"/>
      <w:marLeft w:val="0"/>
      <w:marRight w:val="0"/>
      <w:marTop w:val="0"/>
      <w:marBottom w:val="0"/>
      <w:divBdr>
        <w:top w:val="none" w:sz="0" w:space="0" w:color="auto"/>
        <w:left w:val="none" w:sz="0" w:space="0" w:color="auto"/>
        <w:bottom w:val="none" w:sz="0" w:space="0" w:color="auto"/>
        <w:right w:val="none" w:sz="0" w:space="0" w:color="auto"/>
      </w:divBdr>
    </w:div>
    <w:div w:id="1085374398">
      <w:bodyDiv w:val="1"/>
      <w:marLeft w:val="0"/>
      <w:marRight w:val="0"/>
      <w:marTop w:val="0"/>
      <w:marBottom w:val="0"/>
      <w:divBdr>
        <w:top w:val="none" w:sz="0" w:space="0" w:color="auto"/>
        <w:left w:val="none" w:sz="0" w:space="0" w:color="auto"/>
        <w:bottom w:val="none" w:sz="0" w:space="0" w:color="auto"/>
        <w:right w:val="none" w:sz="0" w:space="0" w:color="auto"/>
      </w:divBdr>
      <w:divsChild>
        <w:div w:id="204760706">
          <w:marLeft w:val="0"/>
          <w:marRight w:val="0"/>
          <w:marTop w:val="0"/>
          <w:marBottom w:val="300"/>
          <w:divBdr>
            <w:top w:val="none" w:sz="0" w:space="0" w:color="auto"/>
            <w:left w:val="none" w:sz="0" w:space="0" w:color="auto"/>
            <w:bottom w:val="none" w:sz="0" w:space="0" w:color="auto"/>
            <w:right w:val="none" w:sz="0" w:space="0" w:color="auto"/>
          </w:divBdr>
          <w:divsChild>
            <w:div w:id="1273129751">
              <w:marLeft w:val="0"/>
              <w:marRight w:val="0"/>
              <w:marTop w:val="0"/>
              <w:marBottom w:val="0"/>
              <w:divBdr>
                <w:top w:val="none" w:sz="0" w:space="0" w:color="auto"/>
                <w:left w:val="single" w:sz="6" w:space="1" w:color="FFFFFF"/>
                <w:bottom w:val="none" w:sz="0" w:space="0" w:color="auto"/>
                <w:right w:val="single" w:sz="6" w:space="1" w:color="FFFFFF"/>
              </w:divBdr>
              <w:divsChild>
                <w:div w:id="1317150767">
                  <w:marLeft w:val="0"/>
                  <w:marRight w:val="0"/>
                  <w:marTop w:val="0"/>
                  <w:marBottom w:val="0"/>
                  <w:divBdr>
                    <w:top w:val="none" w:sz="0" w:space="0" w:color="auto"/>
                    <w:left w:val="none" w:sz="0" w:space="0" w:color="auto"/>
                    <w:bottom w:val="none" w:sz="0" w:space="0" w:color="auto"/>
                    <w:right w:val="none" w:sz="0" w:space="0" w:color="auto"/>
                  </w:divBdr>
                  <w:divsChild>
                    <w:div w:id="2031908958">
                      <w:marLeft w:val="0"/>
                      <w:marRight w:val="0"/>
                      <w:marTop w:val="0"/>
                      <w:marBottom w:val="0"/>
                      <w:divBdr>
                        <w:top w:val="none" w:sz="0" w:space="0" w:color="auto"/>
                        <w:left w:val="none" w:sz="0" w:space="0" w:color="auto"/>
                        <w:bottom w:val="none" w:sz="0" w:space="0" w:color="auto"/>
                        <w:right w:val="none" w:sz="0" w:space="0" w:color="auto"/>
                      </w:divBdr>
                      <w:divsChild>
                        <w:div w:id="1570841962">
                          <w:marLeft w:val="0"/>
                          <w:marRight w:val="0"/>
                          <w:marTop w:val="0"/>
                          <w:marBottom w:val="0"/>
                          <w:divBdr>
                            <w:top w:val="none" w:sz="0" w:space="0" w:color="auto"/>
                            <w:left w:val="none" w:sz="0" w:space="0" w:color="auto"/>
                            <w:bottom w:val="none" w:sz="0" w:space="0" w:color="auto"/>
                            <w:right w:val="none" w:sz="0" w:space="0" w:color="auto"/>
                          </w:divBdr>
                          <w:divsChild>
                            <w:div w:id="642151268">
                              <w:marLeft w:val="0"/>
                              <w:marRight w:val="0"/>
                              <w:marTop w:val="0"/>
                              <w:marBottom w:val="0"/>
                              <w:divBdr>
                                <w:top w:val="none" w:sz="0" w:space="0" w:color="auto"/>
                                <w:left w:val="none" w:sz="0" w:space="0" w:color="auto"/>
                                <w:bottom w:val="none" w:sz="0" w:space="0" w:color="auto"/>
                                <w:right w:val="none" w:sz="0" w:space="0" w:color="auto"/>
                              </w:divBdr>
                              <w:divsChild>
                                <w:div w:id="1392196246">
                                  <w:marLeft w:val="0"/>
                                  <w:marRight w:val="0"/>
                                  <w:marTop w:val="0"/>
                                  <w:marBottom w:val="0"/>
                                  <w:divBdr>
                                    <w:top w:val="none" w:sz="0" w:space="0" w:color="auto"/>
                                    <w:left w:val="none" w:sz="0" w:space="0" w:color="auto"/>
                                    <w:bottom w:val="none" w:sz="0" w:space="0" w:color="auto"/>
                                    <w:right w:val="none" w:sz="0" w:space="0" w:color="auto"/>
                                  </w:divBdr>
                                  <w:divsChild>
                                    <w:div w:id="20249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349798">
      <w:bodyDiv w:val="1"/>
      <w:marLeft w:val="0"/>
      <w:marRight w:val="0"/>
      <w:marTop w:val="0"/>
      <w:marBottom w:val="0"/>
      <w:divBdr>
        <w:top w:val="none" w:sz="0" w:space="0" w:color="auto"/>
        <w:left w:val="none" w:sz="0" w:space="0" w:color="auto"/>
        <w:bottom w:val="none" w:sz="0" w:space="0" w:color="auto"/>
        <w:right w:val="none" w:sz="0" w:space="0" w:color="auto"/>
      </w:divBdr>
      <w:divsChild>
        <w:div w:id="1380200897">
          <w:marLeft w:val="0"/>
          <w:marRight w:val="0"/>
          <w:marTop w:val="0"/>
          <w:marBottom w:val="300"/>
          <w:divBdr>
            <w:top w:val="none" w:sz="0" w:space="0" w:color="auto"/>
            <w:left w:val="none" w:sz="0" w:space="0" w:color="auto"/>
            <w:bottom w:val="none" w:sz="0" w:space="0" w:color="auto"/>
            <w:right w:val="none" w:sz="0" w:space="0" w:color="auto"/>
          </w:divBdr>
          <w:divsChild>
            <w:div w:id="681050421">
              <w:marLeft w:val="0"/>
              <w:marRight w:val="0"/>
              <w:marTop w:val="0"/>
              <w:marBottom w:val="0"/>
              <w:divBdr>
                <w:top w:val="none" w:sz="0" w:space="0" w:color="auto"/>
                <w:left w:val="single" w:sz="6" w:space="1" w:color="FFFFFF"/>
                <w:bottom w:val="none" w:sz="0" w:space="0" w:color="auto"/>
                <w:right w:val="single" w:sz="6" w:space="1" w:color="FFFFFF"/>
              </w:divBdr>
              <w:divsChild>
                <w:div w:id="1446726515">
                  <w:marLeft w:val="0"/>
                  <w:marRight w:val="0"/>
                  <w:marTop w:val="0"/>
                  <w:marBottom w:val="0"/>
                  <w:divBdr>
                    <w:top w:val="none" w:sz="0" w:space="0" w:color="auto"/>
                    <w:left w:val="none" w:sz="0" w:space="0" w:color="auto"/>
                    <w:bottom w:val="none" w:sz="0" w:space="0" w:color="auto"/>
                    <w:right w:val="none" w:sz="0" w:space="0" w:color="auto"/>
                  </w:divBdr>
                  <w:divsChild>
                    <w:div w:id="103037491">
                      <w:marLeft w:val="0"/>
                      <w:marRight w:val="0"/>
                      <w:marTop w:val="0"/>
                      <w:marBottom w:val="0"/>
                      <w:divBdr>
                        <w:top w:val="none" w:sz="0" w:space="0" w:color="auto"/>
                        <w:left w:val="none" w:sz="0" w:space="0" w:color="auto"/>
                        <w:bottom w:val="none" w:sz="0" w:space="0" w:color="auto"/>
                        <w:right w:val="none" w:sz="0" w:space="0" w:color="auto"/>
                      </w:divBdr>
                      <w:divsChild>
                        <w:div w:id="1824734336">
                          <w:marLeft w:val="0"/>
                          <w:marRight w:val="0"/>
                          <w:marTop w:val="0"/>
                          <w:marBottom w:val="0"/>
                          <w:divBdr>
                            <w:top w:val="none" w:sz="0" w:space="0" w:color="auto"/>
                            <w:left w:val="none" w:sz="0" w:space="0" w:color="auto"/>
                            <w:bottom w:val="none" w:sz="0" w:space="0" w:color="auto"/>
                            <w:right w:val="none" w:sz="0" w:space="0" w:color="auto"/>
                          </w:divBdr>
                          <w:divsChild>
                            <w:div w:id="1071123670">
                              <w:marLeft w:val="0"/>
                              <w:marRight w:val="0"/>
                              <w:marTop w:val="0"/>
                              <w:marBottom w:val="0"/>
                              <w:divBdr>
                                <w:top w:val="none" w:sz="0" w:space="0" w:color="auto"/>
                                <w:left w:val="none" w:sz="0" w:space="0" w:color="auto"/>
                                <w:bottom w:val="none" w:sz="0" w:space="0" w:color="auto"/>
                                <w:right w:val="none" w:sz="0" w:space="0" w:color="auto"/>
                              </w:divBdr>
                              <w:divsChild>
                                <w:div w:id="1233151508">
                                  <w:marLeft w:val="0"/>
                                  <w:marRight w:val="0"/>
                                  <w:marTop w:val="0"/>
                                  <w:marBottom w:val="0"/>
                                  <w:divBdr>
                                    <w:top w:val="none" w:sz="0" w:space="0" w:color="auto"/>
                                    <w:left w:val="none" w:sz="0" w:space="0" w:color="auto"/>
                                    <w:bottom w:val="none" w:sz="0" w:space="0" w:color="auto"/>
                                    <w:right w:val="none" w:sz="0" w:space="0" w:color="auto"/>
                                  </w:divBdr>
                                  <w:divsChild>
                                    <w:div w:id="13602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62675">
      <w:bodyDiv w:val="1"/>
      <w:marLeft w:val="0"/>
      <w:marRight w:val="0"/>
      <w:marTop w:val="0"/>
      <w:marBottom w:val="0"/>
      <w:divBdr>
        <w:top w:val="none" w:sz="0" w:space="0" w:color="auto"/>
        <w:left w:val="none" w:sz="0" w:space="0" w:color="auto"/>
        <w:bottom w:val="none" w:sz="0" w:space="0" w:color="auto"/>
        <w:right w:val="none" w:sz="0" w:space="0" w:color="auto"/>
      </w:divBdr>
      <w:divsChild>
        <w:div w:id="838696277">
          <w:marLeft w:val="0"/>
          <w:marRight w:val="0"/>
          <w:marTop w:val="0"/>
          <w:marBottom w:val="0"/>
          <w:divBdr>
            <w:top w:val="none" w:sz="0" w:space="0" w:color="auto"/>
            <w:left w:val="none" w:sz="0" w:space="0" w:color="auto"/>
            <w:bottom w:val="none" w:sz="0" w:space="0" w:color="auto"/>
            <w:right w:val="none" w:sz="0" w:space="0" w:color="auto"/>
          </w:divBdr>
          <w:divsChild>
            <w:div w:id="2063747607">
              <w:marLeft w:val="0"/>
              <w:marRight w:val="0"/>
              <w:marTop w:val="0"/>
              <w:marBottom w:val="0"/>
              <w:divBdr>
                <w:top w:val="none" w:sz="0" w:space="0" w:color="auto"/>
                <w:left w:val="none" w:sz="0" w:space="0" w:color="auto"/>
                <w:bottom w:val="none" w:sz="0" w:space="0" w:color="auto"/>
                <w:right w:val="none" w:sz="0" w:space="0" w:color="auto"/>
              </w:divBdr>
              <w:divsChild>
                <w:div w:id="161824732">
                  <w:marLeft w:val="0"/>
                  <w:marRight w:val="0"/>
                  <w:marTop w:val="0"/>
                  <w:marBottom w:val="0"/>
                  <w:divBdr>
                    <w:top w:val="none" w:sz="0" w:space="0" w:color="auto"/>
                    <w:left w:val="none" w:sz="0" w:space="0" w:color="auto"/>
                    <w:bottom w:val="none" w:sz="0" w:space="0" w:color="auto"/>
                    <w:right w:val="none" w:sz="0" w:space="0" w:color="auto"/>
                  </w:divBdr>
                  <w:divsChild>
                    <w:div w:id="7588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73354">
      <w:bodyDiv w:val="1"/>
      <w:marLeft w:val="0"/>
      <w:marRight w:val="0"/>
      <w:marTop w:val="0"/>
      <w:marBottom w:val="0"/>
      <w:divBdr>
        <w:top w:val="none" w:sz="0" w:space="0" w:color="auto"/>
        <w:left w:val="none" w:sz="0" w:space="0" w:color="auto"/>
        <w:bottom w:val="none" w:sz="0" w:space="0" w:color="auto"/>
        <w:right w:val="none" w:sz="0" w:space="0" w:color="auto"/>
      </w:divBdr>
    </w:div>
    <w:div w:id="1143890865">
      <w:bodyDiv w:val="1"/>
      <w:marLeft w:val="0"/>
      <w:marRight w:val="0"/>
      <w:marTop w:val="0"/>
      <w:marBottom w:val="0"/>
      <w:divBdr>
        <w:top w:val="none" w:sz="0" w:space="0" w:color="auto"/>
        <w:left w:val="none" w:sz="0" w:space="0" w:color="auto"/>
        <w:bottom w:val="none" w:sz="0" w:space="0" w:color="auto"/>
        <w:right w:val="none" w:sz="0" w:space="0" w:color="auto"/>
      </w:divBdr>
    </w:div>
    <w:div w:id="1203396436">
      <w:bodyDiv w:val="1"/>
      <w:marLeft w:val="0"/>
      <w:marRight w:val="0"/>
      <w:marTop w:val="0"/>
      <w:marBottom w:val="0"/>
      <w:divBdr>
        <w:top w:val="none" w:sz="0" w:space="0" w:color="auto"/>
        <w:left w:val="none" w:sz="0" w:space="0" w:color="auto"/>
        <w:bottom w:val="none" w:sz="0" w:space="0" w:color="auto"/>
        <w:right w:val="none" w:sz="0" w:space="0" w:color="auto"/>
      </w:divBdr>
      <w:divsChild>
        <w:div w:id="1506287109">
          <w:marLeft w:val="0"/>
          <w:marRight w:val="0"/>
          <w:marTop w:val="0"/>
          <w:marBottom w:val="300"/>
          <w:divBdr>
            <w:top w:val="none" w:sz="0" w:space="0" w:color="auto"/>
            <w:left w:val="none" w:sz="0" w:space="0" w:color="auto"/>
            <w:bottom w:val="none" w:sz="0" w:space="0" w:color="auto"/>
            <w:right w:val="none" w:sz="0" w:space="0" w:color="auto"/>
          </w:divBdr>
          <w:divsChild>
            <w:div w:id="211236800">
              <w:marLeft w:val="0"/>
              <w:marRight w:val="0"/>
              <w:marTop w:val="0"/>
              <w:marBottom w:val="0"/>
              <w:divBdr>
                <w:top w:val="none" w:sz="0" w:space="0" w:color="auto"/>
                <w:left w:val="single" w:sz="6" w:space="1" w:color="FFFFFF"/>
                <w:bottom w:val="none" w:sz="0" w:space="0" w:color="auto"/>
                <w:right w:val="single" w:sz="6" w:space="1" w:color="FFFFFF"/>
              </w:divBdr>
              <w:divsChild>
                <w:div w:id="219444846">
                  <w:marLeft w:val="0"/>
                  <w:marRight w:val="0"/>
                  <w:marTop w:val="0"/>
                  <w:marBottom w:val="0"/>
                  <w:divBdr>
                    <w:top w:val="none" w:sz="0" w:space="0" w:color="auto"/>
                    <w:left w:val="none" w:sz="0" w:space="0" w:color="auto"/>
                    <w:bottom w:val="none" w:sz="0" w:space="0" w:color="auto"/>
                    <w:right w:val="none" w:sz="0" w:space="0" w:color="auto"/>
                  </w:divBdr>
                  <w:divsChild>
                    <w:div w:id="282619318">
                      <w:marLeft w:val="0"/>
                      <w:marRight w:val="0"/>
                      <w:marTop w:val="0"/>
                      <w:marBottom w:val="0"/>
                      <w:divBdr>
                        <w:top w:val="none" w:sz="0" w:space="0" w:color="auto"/>
                        <w:left w:val="none" w:sz="0" w:space="0" w:color="auto"/>
                        <w:bottom w:val="none" w:sz="0" w:space="0" w:color="auto"/>
                        <w:right w:val="none" w:sz="0" w:space="0" w:color="auto"/>
                      </w:divBdr>
                      <w:divsChild>
                        <w:div w:id="1727948117">
                          <w:marLeft w:val="0"/>
                          <w:marRight w:val="0"/>
                          <w:marTop w:val="0"/>
                          <w:marBottom w:val="0"/>
                          <w:divBdr>
                            <w:top w:val="none" w:sz="0" w:space="0" w:color="auto"/>
                            <w:left w:val="none" w:sz="0" w:space="0" w:color="auto"/>
                            <w:bottom w:val="none" w:sz="0" w:space="0" w:color="auto"/>
                            <w:right w:val="none" w:sz="0" w:space="0" w:color="auto"/>
                          </w:divBdr>
                          <w:divsChild>
                            <w:div w:id="1733305362">
                              <w:marLeft w:val="0"/>
                              <w:marRight w:val="0"/>
                              <w:marTop w:val="0"/>
                              <w:marBottom w:val="0"/>
                              <w:divBdr>
                                <w:top w:val="none" w:sz="0" w:space="0" w:color="auto"/>
                                <w:left w:val="none" w:sz="0" w:space="0" w:color="auto"/>
                                <w:bottom w:val="none" w:sz="0" w:space="0" w:color="auto"/>
                                <w:right w:val="none" w:sz="0" w:space="0" w:color="auto"/>
                              </w:divBdr>
                              <w:divsChild>
                                <w:div w:id="1634679721">
                                  <w:marLeft w:val="0"/>
                                  <w:marRight w:val="0"/>
                                  <w:marTop w:val="0"/>
                                  <w:marBottom w:val="0"/>
                                  <w:divBdr>
                                    <w:top w:val="none" w:sz="0" w:space="0" w:color="auto"/>
                                    <w:left w:val="none" w:sz="0" w:space="0" w:color="auto"/>
                                    <w:bottom w:val="none" w:sz="0" w:space="0" w:color="auto"/>
                                    <w:right w:val="none" w:sz="0" w:space="0" w:color="auto"/>
                                  </w:divBdr>
                                  <w:divsChild>
                                    <w:div w:id="9902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363092">
      <w:bodyDiv w:val="1"/>
      <w:marLeft w:val="0"/>
      <w:marRight w:val="0"/>
      <w:marTop w:val="0"/>
      <w:marBottom w:val="0"/>
      <w:divBdr>
        <w:top w:val="none" w:sz="0" w:space="0" w:color="auto"/>
        <w:left w:val="none" w:sz="0" w:space="0" w:color="auto"/>
        <w:bottom w:val="none" w:sz="0" w:space="0" w:color="auto"/>
        <w:right w:val="none" w:sz="0" w:space="0" w:color="auto"/>
      </w:divBdr>
    </w:div>
    <w:div w:id="1258558742">
      <w:bodyDiv w:val="1"/>
      <w:marLeft w:val="0"/>
      <w:marRight w:val="0"/>
      <w:marTop w:val="0"/>
      <w:marBottom w:val="0"/>
      <w:divBdr>
        <w:top w:val="none" w:sz="0" w:space="0" w:color="auto"/>
        <w:left w:val="none" w:sz="0" w:space="0" w:color="auto"/>
        <w:bottom w:val="none" w:sz="0" w:space="0" w:color="auto"/>
        <w:right w:val="none" w:sz="0" w:space="0" w:color="auto"/>
      </w:divBdr>
    </w:div>
    <w:div w:id="1260261805">
      <w:bodyDiv w:val="1"/>
      <w:marLeft w:val="0"/>
      <w:marRight w:val="0"/>
      <w:marTop w:val="0"/>
      <w:marBottom w:val="0"/>
      <w:divBdr>
        <w:top w:val="none" w:sz="0" w:space="0" w:color="auto"/>
        <w:left w:val="none" w:sz="0" w:space="0" w:color="auto"/>
        <w:bottom w:val="none" w:sz="0" w:space="0" w:color="auto"/>
        <w:right w:val="none" w:sz="0" w:space="0" w:color="auto"/>
      </w:divBdr>
      <w:divsChild>
        <w:div w:id="1874268310">
          <w:marLeft w:val="0"/>
          <w:marRight w:val="0"/>
          <w:marTop w:val="0"/>
          <w:marBottom w:val="300"/>
          <w:divBdr>
            <w:top w:val="none" w:sz="0" w:space="0" w:color="auto"/>
            <w:left w:val="none" w:sz="0" w:space="0" w:color="auto"/>
            <w:bottom w:val="none" w:sz="0" w:space="0" w:color="auto"/>
            <w:right w:val="none" w:sz="0" w:space="0" w:color="auto"/>
          </w:divBdr>
          <w:divsChild>
            <w:div w:id="657153400">
              <w:marLeft w:val="0"/>
              <w:marRight w:val="0"/>
              <w:marTop w:val="0"/>
              <w:marBottom w:val="0"/>
              <w:divBdr>
                <w:top w:val="none" w:sz="0" w:space="0" w:color="auto"/>
                <w:left w:val="single" w:sz="6" w:space="1" w:color="FFFFFF"/>
                <w:bottom w:val="none" w:sz="0" w:space="0" w:color="auto"/>
                <w:right w:val="single" w:sz="6" w:space="1" w:color="FFFFFF"/>
              </w:divBdr>
              <w:divsChild>
                <w:div w:id="1547988947">
                  <w:marLeft w:val="0"/>
                  <w:marRight w:val="0"/>
                  <w:marTop w:val="0"/>
                  <w:marBottom w:val="0"/>
                  <w:divBdr>
                    <w:top w:val="none" w:sz="0" w:space="0" w:color="auto"/>
                    <w:left w:val="none" w:sz="0" w:space="0" w:color="auto"/>
                    <w:bottom w:val="none" w:sz="0" w:space="0" w:color="auto"/>
                    <w:right w:val="none" w:sz="0" w:space="0" w:color="auto"/>
                  </w:divBdr>
                  <w:divsChild>
                    <w:div w:id="1121726560">
                      <w:marLeft w:val="0"/>
                      <w:marRight w:val="0"/>
                      <w:marTop w:val="0"/>
                      <w:marBottom w:val="0"/>
                      <w:divBdr>
                        <w:top w:val="none" w:sz="0" w:space="0" w:color="auto"/>
                        <w:left w:val="none" w:sz="0" w:space="0" w:color="auto"/>
                        <w:bottom w:val="none" w:sz="0" w:space="0" w:color="auto"/>
                        <w:right w:val="none" w:sz="0" w:space="0" w:color="auto"/>
                      </w:divBdr>
                      <w:divsChild>
                        <w:div w:id="930893311">
                          <w:marLeft w:val="0"/>
                          <w:marRight w:val="0"/>
                          <w:marTop w:val="0"/>
                          <w:marBottom w:val="0"/>
                          <w:divBdr>
                            <w:top w:val="none" w:sz="0" w:space="0" w:color="auto"/>
                            <w:left w:val="none" w:sz="0" w:space="0" w:color="auto"/>
                            <w:bottom w:val="none" w:sz="0" w:space="0" w:color="auto"/>
                            <w:right w:val="none" w:sz="0" w:space="0" w:color="auto"/>
                          </w:divBdr>
                          <w:divsChild>
                            <w:div w:id="959847611">
                              <w:marLeft w:val="0"/>
                              <w:marRight w:val="0"/>
                              <w:marTop w:val="0"/>
                              <w:marBottom w:val="0"/>
                              <w:divBdr>
                                <w:top w:val="none" w:sz="0" w:space="0" w:color="auto"/>
                                <w:left w:val="none" w:sz="0" w:space="0" w:color="auto"/>
                                <w:bottom w:val="none" w:sz="0" w:space="0" w:color="auto"/>
                                <w:right w:val="none" w:sz="0" w:space="0" w:color="auto"/>
                              </w:divBdr>
                              <w:divsChild>
                                <w:div w:id="815294519">
                                  <w:marLeft w:val="0"/>
                                  <w:marRight w:val="0"/>
                                  <w:marTop w:val="0"/>
                                  <w:marBottom w:val="0"/>
                                  <w:divBdr>
                                    <w:top w:val="none" w:sz="0" w:space="0" w:color="auto"/>
                                    <w:left w:val="none" w:sz="0" w:space="0" w:color="auto"/>
                                    <w:bottom w:val="none" w:sz="0" w:space="0" w:color="auto"/>
                                    <w:right w:val="none" w:sz="0" w:space="0" w:color="auto"/>
                                  </w:divBdr>
                                  <w:divsChild>
                                    <w:div w:id="9316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50628">
      <w:bodyDiv w:val="1"/>
      <w:marLeft w:val="0"/>
      <w:marRight w:val="0"/>
      <w:marTop w:val="0"/>
      <w:marBottom w:val="0"/>
      <w:divBdr>
        <w:top w:val="none" w:sz="0" w:space="0" w:color="auto"/>
        <w:left w:val="none" w:sz="0" w:space="0" w:color="auto"/>
        <w:bottom w:val="none" w:sz="0" w:space="0" w:color="auto"/>
        <w:right w:val="none" w:sz="0" w:space="0" w:color="auto"/>
      </w:divBdr>
    </w:div>
    <w:div w:id="1361974143">
      <w:bodyDiv w:val="1"/>
      <w:marLeft w:val="0"/>
      <w:marRight w:val="0"/>
      <w:marTop w:val="0"/>
      <w:marBottom w:val="0"/>
      <w:divBdr>
        <w:top w:val="none" w:sz="0" w:space="0" w:color="auto"/>
        <w:left w:val="none" w:sz="0" w:space="0" w:color="auto"/>
        <w:bottom w:val="none" w:sz="0" w:space="0" w:color="auto"/>
        <w:right w:val="none" w:sz="0" w:space="0" w:color="auto"/>
      </w:divBdr>
      <w:divsChild>
        <w:div w:id="1531838583">
          <w:marLeft w:val="0"/>
          <w:marRight w:val="0"/>
          <w:marTop w:val="0"/>
          <w:marBottom w:val="300"/>
          <w:divBdr>
            <w:top w:val="none" w:sz="0" w:space="0" w:color="auto"/>
            <w:left w:val="none" w:sz="0" w:space="0" w:color="auto"/>
            <w:bottom w:val="none" w:sz="0" w:space="0" w:color="auto"/>
            <w:right w:val="none" w:sz="0" w:space="0" w:color="auto"/>
          </w:divBdr>
          <w:divsChild>
            <w:div w:id="1090588689">
              <w:marLeft w:val="0"/>
              <w:marRight w:val="0"/>
              <w:marTop w:val="0"/>
              <w:marBottom w:val="0"/>
              <w:divBdr>
                <w:top w:val="none" w:sz="0" w:space="0" w:color="auto"/>
                <w:left w:val="single" w:sz="6" w:space="1" w:color="FFFFFF"/>
                <w:bottom w:val="none" w:sz="0" w:space="0" w:color="auto"/>
                <w:right w:val="single" w:sz="6" w:space="1" w:color="FFFFFF"/>
              </w:divBdr>
              <w:divsChild>
                <w:div w:id="1206798486">
                  <w:marLeft w:val="0"/>
                  <w:marRight w:val="0"/>
                  <w:marTop w:val="0"/>
                  <w:marBottom w:val="0"/>
                  <w:divBdr>
                    <w:top w:val="none" w:sz="0" w:space="0" w:color="auto"/>
                    <w:left w:val="none" w:sz="0" w:space="0" w:color="auto"/>
                    <w:bottom w:val="none" w:sz="0" w:space="0" w:color="auto"/>
                    <w:right w:val="none" w:sz="0" w:space="0" w:color="auto"/>
                  </w:divBdr>
                  <w:divsChild>
                    <w:div w:id="842163249">
                      <w:marLeft w:val="0"/>
                      <w:marRight w:val="0"/>
                      <w:marTop w:val="0"/>
                      <w:marBottom w:val="0"/>
                      <w:divBdr>
                        <w:top w:val="none" w:sz="0" w:space="0" w:color="auto"/>
                        <w:left w:val="none" w:sz="0" w:space="0" w:color="auto"/>
                        <w:bottom w:val="none" w:sz="0" w:space="0" w:color="auto"/>
                        <w:right w:val="none" w:sz="0" w:space="0" w:color="auto"/>
                      </w:divBdr>
                      <w:divsChild>
                        <w:div w:id="1398241910">
                          <w:marLeft w:val="0"/>
                          <w:marRight w:val="0"/>
                          <w:marTop w:val="0"/>
                          <w:marBottom w:val="0"/>
                          <w:divBdr>
                            <w:top w:val="none" w:sz="0" w:space="0" w:color="auto"/>
                            <w:left w:val="none" w:sz="0" w:space="0" w:color="auto"/>
                            <w:bottom w:val="none" w:sz="0" w:space="0" w:color="auto"/>
                            <w:right w:val="none" w:sz="0" w:space="0" w:color="auto"/>
                          </w:divBdr>
                          <w:divsChild>
                            <w:div w:id="1540362290">
                              <w:marLeft w:val="0"/>
                              <w:marRight w:val="0"/>
                              <w:marTop w:val="0"/>
                              <w:marBottom w:val="0"/>
                              <w:divBdr>
                                <w:top w:val="none" w:sz="0" w:space="0" w:color="auto"/>
                                <w:left w:val="none" w:sz="0" w:space="0" w:color="auto"/>
                                <w:bottom w:val="none" w:sz="0" w:space="0" w:color="auto"/>
                                <w:right w:val="none" w:sz="0" w:space="0" w:color="auto"/>
                              </w:divBdr>
                              <w:divsChild>
                                <w:div w:id="1898321574">
                                  <w:marLeft w:val="0"/>
                                  <w:marRight w:val="0"/>
                                  <w:marTop w:val="0"/>
                                  <w:marBottom w:val="0"/>
                                  <w:divBdr>
                                    <w:top w:val="none" w:sz="0" w:space="0" w:color="auto"/>
                                    <w:left w:val="none" w:sz="0" w:space="0" w:color="auto"/>
                                    <w:bottom w:val="none" w:sz="0" w:space="0" w:color="auto"/>
                                    <w:right w:val="none" w:sz="0" w:space="0" w:color="auto"/>
                                  </w:divBdr>
                                  <w:divsChild>
                                    <w:div w:id="12364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330098">
      <w:bodyDiv w:val="1"/>
      <w:marLeft w:val="0"/>
      <w:marRight w:val="0"/>
      <w:marTop w:val="0"/>
      <w:marBottom w:val="0"/>
      <w:divBdr>
        <w:top w:val="none" w:sz="0" w:space="0" w:color="auto"/>
        <w:left w:val="none" w:sz="0" w:space="0" w:color="auto"/>
        <w:bottom w:val="none" w:sz="0" w:space="0" w:color="auto"/>
        <w:right w:val="none" w:sz="0" w:space="0" w:color="auto"/>
      </w:divBdr>
      <w:divsChild>
        <w:div w:id="1770925088">
          <w:marLeft w:val="0"/>
          <w:marRight w:val="0"/>
          <w:marTop w:val="0"/>
          <w:marBottom w:val="300"/>
          <w:divBdr>
            <w:top w:val="none" w:sz="0" w:space="0" w:color="auto"/>
            <w:left w:val="none" w:sz="0" w:space="0" w:color="auto"/>
            <w:bottom w:val="none" w:sz="0" w:space="0" w:color="auto"/>
            <w:right w:val="none" w:sz="0" w:space="0" w:color="auto"/>
          </w:divBdr>
          <w:divsChild>
            <w:div w:id="630789488">
              <w:marLeft w:val="0"/>
              <w:marRight w:val="0"/>
              <w:marTop w:val="0"/>
              <w:marBottom w:val="0"/>
              <w:divBdr>
                <w:top w:val="none" w:sz="0" w:space="0" w:color="auto"/>
                <w:left w:val="single" w:sz="6" w:space="1" w:color="FFFFFF"/>
                <w:bottom w:val="none" w:sz="0" w:space="0" w:color="auto"/>
                <w:right w:val="single" w:sz="6" w:space="1" w:color="FFFFFF"/>
              </w:divBdr>
              <w:divsChild>
                <w:div w:id="192690204">
                  <w:marLeft w:val="0"/>
                  <w:marRight w:val="0"/>
                  <w:marTop w:val="0"/>
                  <w:marBottom w:val="0"/>
                  <w:divBdr>
                    <w:top w:val="none" w:sz="0" w:space="0" w:color="auto"/>
                    <w:left w:val="none" w:sz="0" w:space="0" w:color="auto"/>
                    <w:bottom w:val="none" w:sz="0" w:space="0" w:color="auto"/>
                    <w:right w:val="none" w:sz="0" w:space="0" w:color="auto"/>
                  </w:divBdr>
                  <w:divsChild>
                    <w:div w:id="863253925">
                      <w:marLeft w:val="0"/>
                      <w:marRight w:val="0"/>
                      <w:marTop w:val="0"/>
                      <w:marBottom w:val="0"/>
                      <w:divBdr>
                        <w:top w:val="none" w:sz="0" w:space="0" w:color="auto"/>
                        <w:left w:val="none" w:sz="0" w:space="0" w:color="auto"/>
                        <w:bottom w:val="none" w:sz="0" w:space="0" w:color="auto"/>
                        <w:right w:val="none" w:sz="0" w:space="0" w:color="auto"/>
                      </w:divBdr>
                      <w:divsChild>
                        <w:div w:id="1320962665">
                          <w:marLeft w:val="0"/>
                          <w:marRight w:val="0"/>
                          <w:marTop w:val="0"/>
                          <w:marBottom w:val="0"/>
                          <w:divBdr>
                            <w:top w:val="none" w:sz="0" w:space="0" w:color="auto"/>
                            <w:left w:val="none" w:sz="0" w:space="0" w:color="auto"/>
                            <w:bottom w:val="none" w:sz="0" w:space="0" w:color="auto"/>
                            <w:right w:val="none" w:sz="0" w:space="0" w:color="auto"/>
                          </w:divBdr>
                          <w:divsChild>
                            <w:div w:id="998923856">
                              <w:marLeft w:val="0"/>
                              <w:marRight w:val="0"/>
                              <w:marTop w:val="0"/>
                              <w:marBottom w:val="0"/>
                              <w:divBdr>
                                <w:top w:val="none" w:sz="0" w:space="0" w:color="auto"/>
                                <w:left w:val="none" w:sz="0" w:space="0" w:color="auto"/>
                                <w:bottom w:val="none" w:sz="0" w:space="0" w:color="auto"/>
                                <w:right w:val="none" w:sz="0" w:space="0" w:color="auto"/>
                              </w:divBdr>
                              <w:divsChild>
                                <w:div w:id="1786194064">
                                  <w:marLeft w:val="0"/>
                                  <w:marRight w:val="0"/>
                                  <w:marTop w:val="0"/>
                                  <w:marBottom w:val="0"/>
                                  <w:divBdr>
                                    <w:top w:val="none" w:sz="0" w:space="0" w:color="auto"/>
                                    <w:left w:val="none" w:sz="0" w:space="0" w:color="auto"/>
                                    <w:bottom w:val="none" w:sz="0" w:space="0" w:color="auto"/>
                                    <w:right w:val="none" w:sz="0" w:space="0" w:color="auto"/>
                                  </w:divBdr>
                                  <w:divsChild>
                                    <w:div w:id="3472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87507">
      <w:bodyDiv w:val="1"/>
      <w:marLeft w:val="0"/>
      <w:marRight w:val="0"/>
      <w:marTop w:val="0"/>
      <w:marBottom w:val="0"/>
      <w:divBdr>
        <w:top w:val="none" w:sz="0" w:space="0" w:color="auto"/>
        <w:left w:val="none" w:sz="0" w:space="0" w:color="auto"/>
        <w:bottom w:val="none" w:sz="0" w:space="0" w:color="auto"/>
        <w:right w:val="none" w:sz="0" w:space="0" w:color="auto"/>
      </w:divBdr>
    </w:div>
    <w:div w:id="1474565311">
      <w:bodyDiv w:val="1"/>
      <w:marLeft w:val="0"/>
      <w:marRight w:val="0"/>
      <w:marTop w:val="0"/>
      <w:marBottom w:val="0"/>
      <w:divBdr>
        <w:top w:val="none" w:sz="0" w:space="0" w:color="auto"/>
        <w:left w:val="none" w:sz="0" w:space="0" w:color="auto"/>
        <w:bottom w:val="none" w:sz="0" w:space="0" w:color="auto"/>
        <w:right w:val="none" w:sz="0" w:space="0" w:color="auto"/>
      </w:divBdr>
    </w:div>
    <w:div w:id="1664772396">
      <w:bodyDiv w:val="1"/>
      <w:marLeft w:val="0"/>
      <w:marRight w:val="0"/>
      <w:marTop w:val="0"/>
      <w:marBottom w:val="0"/>
      <w:divBdr>
        <w:top w:val="none" w:sz="0" w:space="0" w:color="auto"/>
        <w:left w:val="none" w:sz="0" w:space="0" w:color="auto"/>
        <w:bottom w:val="none" w:sz="0" w:space="0" w:color="auto"/>
        <w:right w:val="none" w:sz="0" w:space="0" w:color="auto"/>
      </w:divBdr>
      <w:divsChild>
        <w:div w:id="688139023">
          <w:marLeft w:val="0"/>
          <w:marRight w:val="0"/>
          <w:marTop w:val="0"/>
          <w:marBottom w:val="300"/>
          <w:divBdr>
            <w:top w:val="none" w:sz="0" w:space="0" w:color="auto"/>
            <w:left w:val="none" w:sz="0" w:space="0" w:color="auto"/>
            <w:bottom w:val="none" w:sz="0" w:space="0" w:color="auto"/>
            <w:right w:val="none" w:sz="0" w:space="0" w:color="auto"/>
          </w:divBdr>
          <w:divsChild>
            <w:div w:id="1011489988">
              <w:marLeft w:val="0"/>
              <w:marRight w:val="0"/>
              <w:marTop w:val="0"/>
              <w:marBottom w:val="0"/>
              <w:divBdr>
                <w:top w:val="none" w:sz="0" w:space="0" w:color="auto"/>
                <w:left w:val="single" w:sz="6" w:space="1" w:color="FFFFFF"/>
                <w:bottom w:val="none" w:sz="0" w:space="0" w:color="auto"/>
                <w:right w:val="single" w:sz="6" w:space="1" w:color="FFFFFF"/>
              </w:divBdr>
              <w:divsChild>
                <w:div w:id="483814416">
                  <w:marLeft w:val="0"/>
                  <w:marRight w:val="0"/>
                  <w:marTop w:val="0"/>
                  <w:marBottom w:val="0"/>
                  <w:divBdr>
                    <w:top w:val="none" w:sz="0" w:space="0" w:color="auto"/>
                    <w:left w:val="none" w:sz="0" w:space="0" w:color="auto"/>
                    <w:bottom w:val="none" w:sz="0" w:space="0" w:color="auto"/>
                    <w:right w:val="none" w:sz="0" w:space="0" w:color="auto"/>
                  </w:divBdr>
                  <w:divsChild>
                    <w:div w:id="171725267">
                      <w:marLeft w:val="0"/>
                      <w:marRight w:val="0"/>
                      <w:marTop w:val="0"/>
                      <w:marBottom w:val="0"/>
                      <w:divBdr>
                        <w:top w:val="none" w:sz="0" w:space="0" w:color="auto"/>
                        <w:left w:val="none" w:sz="0" w:space="0" w:color="auto"/>
                        <w:bottom w:val="none" w:sz="0" w:space="0" w:color="auto"/>
                        <w:right w:val="none" w:sz="0" w:space="0" w:color="auto"/>
                      </w:divBdr>
                      <w:divsChild>
                        <w:div w:id="1665626133">
                          <w:marLeft w:val="0"/>
                          <w:marRight w:val="0"/>
                          <w:marTop w:val="0"/>
                          <w:marBottom w:val="0"/>
                          <w:divBdr>
                            <w:top w:val="none" w:sz="0" w:space="0" w:color="auto"/>
                            <w:left w:val="none" w:sz="0" w:space="0" w:color="auto"/>
                            <w:bottom w:val="none" w:sz="0" w:space="0" w:color="auto"/>
                            <w:right w:val="none" w:sz="0" w:space="0" w:color="auto"/>
                          </w:divBdr>
                          <w:divsChild>
                            <w:div w:id="166871421">
                              <w:marLeft w:val="0"/>
                              <w:marRight w:val="0"/>
                              <w:marTop w:val="0"/>
                              <w:marBottom w:val="0"/>
                              <w:divBdr>
                                <w:top w:val="none" w:sz="0" w:space="0" w:color="auto"/>
                                <w:left w:val="none" w:sz="0" w:space="0" w:color="auto"/>
                                <w:bottom w:val="none" w:sz="0" w:space="0" w:color="auto"/>
                                <w:right w:val="none" w:sz="0" w:space="0" w:color="auto"/>
                              </w:divBdr>
                              <w:divsChild>
                                <w:div w:id="2145417698">
                                  <w:marLeft w:val="0"/>
                                  <w:marRight w:val="0"/>
                                  <w:marTop w:val="0"/>
                                  <w:marBottom w:val="0"/>
                                  <w:divBdr>
                                    <w:top w:val="none" w:sz="0" w:space="0" w:color="auto"/>
                                    <w:left w:val="none" w:sz="0" w:space="0" w:color="auto"/>
                                    <w:bottom w:val="none" w:sz="0" w:space="0" w:color="auto"/>
                                    <w:right w:val="none" w:sz="0" w:space="0" w:color="auto"/>
                                  </w:divBdr>
                                  <w:divsChild>
                                    <w:div w:id="6238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31618">
      <w:bodyDiv w:val="1"/>
      <w:marLeft w:val="0"/>
      <w:marRight w:val="0"/>
      <w:marTop w:val="0"/>
      <w:marBottom w:val="0"/>
      <w:divBdr>
        <w:top w:val="none" w:sz="0" w:space="0" w:color="auto"/>
        <w:left w:val="none" w:sz="0" w:space="0" w:color="auto"/>
        <w:bottom w:val="none" w:sz="0" w:space="0" w:color="auto"/>
        <w:right w:val="none" w:sz="0" w:space="0" w:color="auto"/>
      </w:divBdr>
    </w:div>
    <w:div w:id="1934312352">
      <w:bodyDiv w:val="1"/>
      <w:marLeft w:val="0"/>
      <w:marRight w:val="0"/>
      <w:marTop w:val="0"/>
      <w:marBottom w:val="0"/>
      <w:divBdr>
        <w:top w:val="none" w:sz="0" w:space="0" w:color="auto"/>
        <w:left w:val="none" w:sz="0" w:space="0" w:color="auto"/>
        <w:bottom w:val="none" w:sz="0" w:space="0" w:color="auto"/>
        <w:right w:val="none" w:sz="0" w:space="0" w:color="auto"/>
      </w:divBdr>
      <w:divsChild>
        <w:div w:id="379012357">
          <w:marLeft w:val="0"/>
          <w:marRight w:val="0"/>
          <w:marTop w:val="0"/>
          <w:marBottom w:val="300"/>
          <w:divBdr>
            <w:top w:val="none" w:sz="0" w:space="0" w:color="auto"/>
            <w:left w:val="none" w:sz="0" w:space="0" w:color="auto"/>
            <w:bottom w:val="none" w:sz="0" w:space="0" w:color="auto"/>
            <w:right w:val="none" w:sz="0" w:space="0" w:color="auto"/>
          </w:divBdr>
          <w:divsChild>
            <w:div w:id="718551848">
              <w:marLeft w:val="0"/>
              <w:marRight w:val="0"/>
              <w:marTop w:val="0"/>
              <w:marBottom w:val="0"/>
              <w:divBdr>
                <w:top w:val="none" w:sz="0" w:space="0" w:color="auto"/>
                <w:left w:val="single" w:sz="6" w:space="1" w:color="FFFFFF"/>
                <w:bottom w:val="none" w:sz="0" w:space="0" w:color="auto"/>
                <w:right w:val="single" w:sz="6" w:space="1" w:color="FFFFFF"/>
              </w:divBdr>
              <w:divsChild>
                <w:div w:id="2000887791">
                  <w:marLeft w:val="0"/>
                  <w:marRight w:val="0"/>
                  <w:marTop w:val="0"/>
                  <w:marBottom w:val="0"/>
                  <w:divBdr>
                    <w:top w:val="none" w:sz="0" w:space="0" w:color="auto"/>
                    <w:left w:val="none" w:sz="0" w:space="0" w:color="auto"/>
                    <w:bottom w:val="none" w:sz="0" w:space="0" w:color="auto"/>
                    <w:right w:val="none" w:sz="0" w:space="0" w:color="auto"/>
                  </w:divBdr>
                  <w:divsChild>
                    <w:div w:id="363135993">
                      <w:marLeft w:val="0"/>
                      <w:marRight w:val="0"/>
                      <w:marTop w:val="0"/>
                      <w:marBottom w:val="0"/>
                      <w:divBdr>
                        <w:top w:val="none" w:sz="0" w:space="0" w:color="auto"/>
                        <w:left w:val="none" w:sz="0" w:space="0" w:color="auto"/>
                        <w:bottom w:val="none" w:sz="0" w:space="0" w:color="auto"/>
                        <w:right w:val="none" w:sz="0" w:space="0" w:color="auto"/>
                      </w:divBdr>
                      <w:divsChild>
                        <w:div w:id="2120097805">
                          <w:marLeft w:val="0"/>
                          <w:marRight w:val="0"/>
                          <w:marTop w:val="0"/>
                          <w:marBottom w:val="0"/>
                          <w:divBdr>
                            <w:top w:val="none" w:sz="0" w:space="0" w:color="auto"/>
                            <w:left w:val="none" w:sz="0" w:space="0" w:color="auto"/>
                            <w:bottom w:val="none" w:sz="0" w:space="0" w:color="auto"/>
                            <w:right w:val="none" w:sz="0" w:space="0" w:color="auto"/>
                          </w:divBdr>
                          <w:divsChild>
                            <w:div w:id="304355316">
                              <w:marLeft w:val="0"/>
                              <w:marRight w:val="0"/>
                              <w:marTop w:val="0"/>
                              <w:marBottom w:val="0"/>
                              <w:divBdr>
                                <w:top w:val="none" w:sz="0" w:space="0" w:color="auto"/>
                                <w:left w:val="none" w:sz="0" w:space="0" w:color="auto"/>
                                <w:bottom w:val="none" w:sz="0" w:space="0" w:color="auto"/>
                                <w:right w:val="none" w:sz="0" w:space="0" w:color="auto"/>
                              </w:divBdr>
                              <w:divsChild>
                                <w:div w:id="1442455851">
                                  <w:marLeft w:val="0"/>
                                  <w:marRight w:val="0"/>
                                  <w:marTop w:val="0"/>
                                  <w:marBottom w:val="0"/>
                                  <w:divBdr>
                                    <w:top w:val="none" w:sz="0" w:space="0" w:color="auto"/>
                                    <w:left w:val="none" w:sz="0" w:space="0" w:color="auto"/>
                                    <w:bottom w:val="none" w:sz="0" w:space="0" w:color="auto"/>
                                    <w:right w:val="none" w:sz="0" w:space="0" w:color="auto"/>
                                  </w:divBdr>
                                  <w:divsChild>
                                    <w:div w:id="7647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230665">
      <w:bodyDiv w:val="1"/>
      <w:marLeft w:val="0"/>
      <w:marRight w:val="0"/>
      <w:marTop w:val="0"/>
      <w:marBottom w:val="0"/>
      <w:divBdr>
        <w:top w:val="none" w:sz="0" w:space="0" w:color="auto"/>
        <w:left w:val="none" w:sz="0" w:space="0" w:color="auto"/>
        <w:bottom w:val="none" w:sz="0" w:space="0" w:color="auto"/>
        <w:right w:val="none" w:sz="0" w:space="0" w:color="auto"/>
      </w:divBdr>
    </w:div>
    <w:div w:id="2100366148">
      <w:bodyDiv w:val="1"/>
      <w:marLeft w:val="0"/>
      <w:marRight w:val="0"/>
      <w:marTop w:val="0"/>
      <w:marBottom w:val="0"/>
      <w:divBdr>
        <w:top w:val="none" w:sz="0" w:space="0" w:color="auto"/>
        <w:left w:val="none" w:sz="0" w:space="0" w:color="auto"/>
        <w:bottom w:val="none" w:sz="0" w:space="0" w:color="auto"/>
        <w:right w:val="none" w:sz="0" w:space="0" w:color="auto"/>
      </w:divBdr>
      <w:divsChild>
        <w:div w:id="2026662826">
          <w:marLeft w:val="0"/>
          <w:marRight w:val="0"/>
          <w:marTop w:val="0"/>
          <w:marBottom w:val="300"/>
          <w:divBdr>
            <w:top w:val="none" w:sz="0" w:space="0" w:color="auto"/>
            <w:left w:val="none" w:sz="0" w:space="0" w:color="auto"/>
            <w:bottom w:val="none" w:sz="0" w:space="0" w:color="auto"/>
            <w:right w:val="none" w:sz="0" w:space="0" w:color="auto"/>
          </w:divBdr>
          <w:divsChild>
            <w:div w:id="1900019755">
              <w:marLeft w:val="0"/>
              <w:marRight w:val="0"/>
              <w:marTop w:val="0"/>
              <w:marBottom w:val="0"/>
              <w:divBdr>
                <w:top w:val="none" w:sz="0" w:space="0" w:color="auto"/>
                <w:left w:val="single" w:sz="6" w:space="1" w:color="FFFFFF"/>
                <w:bottom w:val="none" w:sz="0" w:space="0" w:color="auto"/>
                <w:right w:val="single" w:sz="6" w:space="1" w:color="FFFFFF"/>
              </w:divBdr>
              <w:divsChild>
                <w:div w:id="1853372059">
                  <w:marLeft w:val="0"/>
                  <w:marRight w:val="0"/>
                  <w:marTop w:val="0"/>
                  <w:marBottom w:val="0"/>
                  <w:divBdr>
                    <w:top w:val="none" w:sz="0" w:space="0" w:color="auto"/>
                    <w:left w:val="none" w:sz="0" w:space="0" w:color="auto"/>
                    <w:bottom w:val="none" w:sz="0" w:space="0" w:color="auto"/>
                    <w:right w:val="none" w:sz="0" w:space="0" w:color="auto"/>
                  </w:divBdr>
                  <w:divsChild>
                    <w:div w:id="1450928472">
                      <w:marLeft w:val="0"/>
                      <w:marRight w:val="0"/>
                      <w:marTop w:val="0"/>
                      <w:marBottom w:val="0"/>
                      <w:divBdr>
                        <w:top w:val="none" w:sz="0" w:space="0" w:color="auto"/>
                        <w:left w:val="none" w:sz="0" w:space="0" w:color="auto"/>
                        <w:bottom w:val="none" w:sz="0" w:space="0" w:color="auto"/>
                        <w:right w:val="none" w:sz="0" w:space="0" w:color="auto"/>
                      </w:divBdr>
                      <w:divsChild>
                        <w:div w:id="1921598131">
                          <w:marLeft w:val="0"/>
                          <w:marRight w:val="0"/>
                          <w:marTop w:val="0"/>
                          <w:marBottom w:val="0"/>
                          <w:divBdr>
                            <w:top w:val="none" w:sz="0" w:space="0" w:color="auto"/>
                            <w:left w:val="none" w:sz="0" w:space="0" w:color="auto"/>
                            <w:bottom w:val="none" w:sz="0" w:space="0" w:color="auto"/>
                            <w:right w:val="none" w:sz="0" w:space="0" w:color="auto"/>
                          </w:divBdr>
                          <w:divsChild>
                            <w:div w:id="2117358451">
                              <w:marLeft w:val="0"/>
                              <w:marRight w:val="0"/>
                              <w:marTop w:val="0"/>
                              <w:marBottom w:val="0"/>
                              <w:divBdr>
                                <w:top w:val="none" w:sz="0" w:space="0" w:color="auto"/>
                                <w:left w:val="none" w:sz="0" w:space="0" w:color="auto"/>
                                <w:bottom w:val="none" w:sz="0" w:space="0" w:color="auto"/>
                                <w:right w:val="none" w:sz="0" w:space="0" w:color="auto"/>
                              </w:divBdr>
                              <w:divsChild>
                                <w:div w:id="1728411329">
                                  <w:marLeft w:val="0"/>
                                  <w:marRight w:val="0"/>
                                  <w:marTop w:val="0"/>
                                  <w:marBottom w:val="0"/>
                                  <w:divBdr>
                                    <w:top w:val="none" w:sz="0" w:space="0" w:color="auto"/>
                                    <w:left w:val="none" w:sz="0" w:space="0" w:color="auto"/>
                                    <w:bottom w:val="none" w:sz="0" w:space="0" w:color="auto"/>
                                    <w:right w:val="none" w:sz="0" w:space="0" w:color="auto"/>
                                  </w:divBdr>
                                  <w:divsChild>
                                    <w:div w:id="8265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029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0339F-D26C-0B49-A2AE-E049433D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34429</Words>
  <Characters>210021</Characters>
  <Application>Microsoft Macintosh Word</Application>
  <DocSecurity>0</DocSecurity>
  <Lines>1750</Lines>
  <Paragraphs>487</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243963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Sædder</dc:creator>
  <cp:lastModifiedBy>Eva Sædder</cp:lastModifiedBy>
  <cp:revision>2</cp:revision>
  <cp:lastPrinted>2015-12-22T11:59:00Z</cp:lastPrinted>
  <dcterms:created xsi:type="dcterms:W3CDTF">2016-01-03T09:57:00Z</dcterms:created>
  <dcterms:modified xsi:type="dcterms:W3CDTF">2016-01-03T09:57:00Z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C:\Users\sumhbj\AppData\Local\Temp\Scanjour\Captia\SJ20151222111130271 [DOK1831708].DOCX</vt:lpwstr>
  </property>
  <property fmtid="{D5CDD505-2E9C-101B-9397-08002B2CF9AE}" pid="3" name="title">
    <vt:lpwstr>Udkast til forslag til lov om kliniske lægemiddelforsøg - 25. november 2015 (DOK1831708)</vt:lpwstr>
  </property>
  <property fmtid="{D5CDD505-2E9C-101B-9397-08002B2CF9AE}" pid="4" name="command">
    <vt:lpwstr/>
  </property>
</Properties>
</file>